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687572" w14:paraId="564C73CC" w14:textId="77777777" w:rsidTr="007E1D85">
        <w:tc>
          <w:tcPr>
            <w:tcW w:w="5211" w:type="dxa"/>
            <w:hideMark/>
          </w:tcPr>
          <w:p w14:paraId="7B779DB8" w14:textId="77777777" w:rsidR="007E1D85" w:rsidRPr="00687572" w:rsidRDefault="007E1D85" w:rsidP="00687572">
            <w:pPr>
              <w:widowControl w:val="0"/>
              <w:spacing w:after="0" w:line="240" w:lineRule="auto"/>
              <w:rPr>
                <w:rFonts w:ascii="Times New Roman" w:eastAsia="Batang" w:hAnsi="Times New Roman"/>
                <w:snapToGrid w:val="0"/>
                <w:sz w:val="28"/>
                <w:szCs w:val="28"/>
                <w:lang w:eastAsia="ru-RU"/>
              </w:rPr>
            </w:pPr>
          </w:p>
        </w:tc>
        <w:tc>
          <w:tcPr>
            <w:tcW w:w="4536" w:type="dxa"/>
            <w:hideMark/>
          </w:tcPr>
          <w:p w14:paraId="36EA8AAA" w14:textId="77777777" w:rsidR="00523D82" w:rsidRPr="00687572" w:rsidRDefault="00523D82" w:rsidP="00C566D6">
            <w:pPr>
              <w:widowControl w:val="0"/>
              <w:spacing w:after="0" w:line="240" w:lineRule="auto"/>
              <w:rPr>
                <w:rFonts w:ascii="Times New Roman" w:eastAsia="Times New Roman" w:hAnsi="Times New Roman"/>
                <w:b/>
                <w:snapToGrid w:val="0"/>
                <w:sz w:val="28"/>
                <w:szCs w:val="28"/>
                <w:lang w:eastAsia="ru-RU"/>
              </w:rPr>
            </w:pPr>
            <w:r w:rsidRPr="00687572">
              <w:rPr>
                <w:rFonts w:ascii="Times New Roman" w:eastAsia="Times New Roman" w:hAnsi="Times New Roman"/>
                <w:b/>
                <w:snapToGrid w:val="0"/>
                <w:sz w:val="28"/>
                <w:szCs w:val="28"/>
                <w:lang w:eastAsia="ru-RU"/>
              </w:rPr>
              <w:t>УТВЕРЖДЕНА</w:t>
            </w:r>
          </w:p>
          <w:p w14:paraId="5ED6681C" w14:textId="77777777" w:rsidR="00653617" w:rsidRPr="00687572" w:rsidRDefault="00523D82" w:rsidP="00575348">
            <w:pPr>
              <w:autoSpaceDE w:val="0"/>
              <w:autoSpaceDN w:val="0"/>
              <w:spacing w:after="0" w:line="240" w:lineRule="auto"/>
              <w:rPr>
                <w:rFonts w:ascii="Times New Roman" w:eastAsia="Times New Roman" w:hAnsi="Times New Roman"/>
                <w:sz w:val="28"/>
                <w:szCs w:val="28"/>
                <w:lang w:eastAsia="ru-RU"/>
              </w:rPr>
            </w:pPr>
            <w:r w:rsidRPr="00687572">
              <w:rPr>
                <w:rFonts w:ascii="Times New Roman" w:eastAsia="Times New Roman" w:hAnsi="Times New Roman"/>
                <w:sz w:val="28"/>
                <w:szCs w:val="28"/>
                <w:lang w:eastAsia="ru-RU"/>
              </w:rPr>
              <w:t xml:space="preserve">Приказом </w:t>
            </w:r>
            <w:r w:rsidR="004C462F" w:rsidRPr="00687572">
              <w:rPr>
                <w:rFonts w:ascii="Times New Roman" w:eastAsia="Times New Roman" w:hAnsi="Times New Roman"/>
                <w:sz w:val="28"/>
                <w:szCs w:val="28"/>
                <w:lang w:eastAsia="ru-RU"/>
              </w:rPr>
              <w:t>П</w:t>
            </w:r>
            <w:r w:rsidRPr="00687572">
              <w:rPr>
                <w:rFonts w:ascii="Times New Roman" w:eastAsia="Times New Roman" w:hAnsi="Times New Roman"/>
                <w:sz w:val="28"/>
                <w:szCs w:val="28"/>
                <w:lang w:eastAsia="ru-RU"/>
              </w:rPr>
              <w:t xml:space="preserve">редседателя </w:t>
            </w:r>
          </w:p>
          <w:p w14:paraId="6264D788" w14:textId="77777777" w:rsidR="00523D82" w:rsidRPr="00687572" w:rsidRDefault="007E702A" w:rsidP="00B608C1">
            <w:pPr>
              <w:autoSpaceDE w:val="0"/>
              <w:autoSpaceDN w:val="0"/>
              <w:spacing w:after="0" w:line="240" w:lineRule="auto"/>
              <w:rPr>
                <w:rFonts w:ascii="Times New Roman" w:eastAsia="Times New Roman" w:hAnsi="Times New Roman"/>
                <w:sz w:val="28"/>
                <w:szCs w:val="28"/>
                <w:lang w:eastAsia="ru-RU"/>
              </w:rPr>
            </w:pPr>
            <w:r w:rsidRPr="00687572">
              <w:rPr>
                <w:rFonts w:ascii="Times New Roman" w:eastAsia="Times New Roman" w:hAnsi="Times New Roman"/>
                <w:sz w:val="28"/>
                <w:szCs w:val="28"/>
                <w:lang w:eastAsia="ru-RU"/>
              </w:rPr>
              <w:t>РГУ «</w:t>
            </w:r>
            <w:r w:rsidR="00523D82" w:rsidRPr="00687572">
              <w:rPr>
                <w:rFonts w:ascii="Times New Roman" w:eastAsia="Times New Roman" w:hAnsi="Times New Roman"/>
                <w:sz w:val="28"/>
                <w:szCs w:val="28"/>
                <w:lang w:eastAsia="ru-RU"/>
              </w:rPr>
              <w:t xml:space="preserve">Комитет </w:t>
            </w:r>
            <w:r w:rsidR="00FE6141" w:rsidRPr="00687572">
              <w:rPr>
                <w:rFonts w:ascii="Times New Roman" w:eastAsia="Times New Roman" w:hAnsi="Times New Roman"/>
                <w:sz w:val="28"/>
                <w:szCs w:val="28"/>
                <w:lang w:eastAsia="ru-RU"/>
              </w:rPr>
              <w:t>медицинского и фармацевтического контроля</w:t>
            </w:r>
            <w:r w:rsidRPr="00687572">
              <w:rPr>
                <w:rFonts w:ascii="Times New Roman" w:eastAsia="Times New Roman" w:hAnsi="Times New Roman"/>
                <w:sz w:val="28"/>
                <w:szCs w:val="28"/>
                <w:lang w:eastAsia="ru-RU"/>
              </w:rPr>
              <w:t>»</w:t>
            </w:r>
          </w:p>
          <w:p w14:paraId="51AD62AF" w14:textId="77777777" w:rsidR="00523D82" w:rsidRPr="00687572"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687572">
              <w:rPr>
                <w:rFonts w:ascii="Times New Roman" w:eastAsia="Times New Roman" w:hAnsi="Times New Roman"/>
                <w:bCs/>
                <w:sz w:val="28"/>
                <w:szCs w:val="28"/>
                <w:lang w:eastAsia="ru-RU"/>
              </w:rPr>
              <w:t>Министерства здравоохранения</w:t>
            </w:r>
            <w:r w:rsidRPr="00687572">
              <w:rPr>
                <w:rFonts w:ascii="Times New Roman" w:eastAsia="Times New Roman" w:hAnsi="Times New Roman"/>
                <w:bCs/>
                <w:sz w:val="28"/>
                <w:szCs w:val="28"/>
                <w:lang w:val="uk-UA" w:eastAsia="ru-RU"/>
              </w:rPr>
              <w:t xml:space="preserve"> </w:t>
            </w:r>
          </w:p>
          <w:p w14:paraId="03AFAB18" w14:textId="77777777" w:rsidR="00523D82" w:rsidRPr="00687572"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687572">
              <w:rPr>
                <w:rFonts w:ascii="Times New Roman" w:eastAsia="Times New Roman" w:hAnsi="Times New Roman"/>
                <w:bCs/>
                <w:sz w:val="28"/>
                <w:szCs w:val="28"/>
                <w:lang w:eastAsia="ru-RU"/>
              </w:rPr>
              <w:t>Республики Казахстан</w:t>
            </w:r>
          </w:p>
          <w:p w14:paraId="05437131" w14:textId="5BEFFAF0" w:rsidR="00523D82" w:rsidRPr="00687572" w:rsidRDefault="00523D82" w:rsidP="00C566D6">
            <w:pPr>
              <w:autoSpaceDE w:val="0"/>
              <w:autoSpaceDN w:val="0"/>
              <w:spacing w:after="0" w:line="240" w:lineRule="auto"/>
              <w:rPr>
                <w:rFonts w:ascii="Times New Roman" w:eastAsia="Times New Roman" w:hAnsi="Times New Roman"/>
                <w:sz w:val="28"/>
                <w:szCs w:val="28"/>
                <w:lang w:eastAsia="ru-RU"/>
              </w:rPr>
            </w:pPr>
            <w:r w:rsidRPr="00687572">
              <w:rPr>
                <w:rFonts w:ascii="Times New Roman" w:eastAsia="Times New Roman" w:hAnsi="Times New Roman"/>
                <w:sz w:val="28"/>
                <w:szCs w:val="28"/>
                <w:lang w:eastAsia="ru-RU"/>
              </w:rPr>
              <w:t>от «</w:t>
            </w:r>
            <w:r w:rsidR="006E5043">
              <w:rPr>
                <w:rFonts w:ascii="Times New Roman" w:eastAsia="Times New Roman" w:hAnsi="Times New Roman"/>
                <w:sz w:val="28"/>
                <w:szCs w:val="28"/>
                <w:lang w:eastAsia="ru-RU"/>
              </w:rPr>
              <w:t>28</w:t>
            </w:r>
            <w:r w:rsidRPr="00687572">
              <w:rPr>
                <w:rFonts w:ascii="Times New Roman" w:eastAsia="Times New Roman" w:hAnsi="Times New Roman"/>
                <w:sz w:val="28"/>
                <w:szCs w:val="28"/>
                <w:lang w:eastAsia="ru-RU"/>
              </w:rPr>
              <w:t>»</w:t>
            </w:r>
            <w:r w:rsidR="006E5043">
              <w:rPr>
                <w:rFonts w:ascii="Times New Roman" w:eastAsia="Times New Roman" w:hAnsi="Times New Roman"/>
                <w:sz w:val="28"/>
                <w:szCs w:val="28"/>
                <w:lang w:eastAsia="ru-RU"/>
              </w:rPr>
              <w:t xml:space="preserve">   04    </w:t>
            </w:r>
            <w:r w:rsidRPr="00687572">
              <w:rPr>
                <w:rFonts w:ascii="Times New Roman" w:eastAsia="Times New Roman" w:hAnsi="Times New Roman"/>
                <w:sz w:val="28"/>
                <w:szCs w:val="28"/>
                <w:lang w:eastAsia="ru-RU"/>
              </w:rPr>
              <w:t>20</w:t>
            </w:r>
            <w:r w:rsidR="006E5043">
              <w:rPr>
                <w:rFonts w:ascii="Times New Roman" w:eastAsia="Times New Roman" w:hAnsi="Times New Roman"/>
                <w:sz w:val="28"/>
                <w:szCs w:val="28"/>
                <w:lang w:eastAsia="ru-RU"/>
              </w:rPr>
              <w:t xml:space="preserve">23 </w:t>
            </w:r>
            <w:r w:rsidRPr="00687572">
              <w:rPr>
                <w:rFonts w:ascii="Times New Roman" w:eastAsia="Times New Roman" w:hAnsi="Times New Roman"/>
                <w:sz w:val="28"/>
                <w:szCs w:val="28"/>
                <w:lang w:eastAsia="ru-RU"/>
              </w:rPr>
              <w:t>г.</w:t>
            </w:r>
          </w:p>
          <w:p w14:paraId="075A247E" w14:textId="539136EA" w:rsidR="00523D82" w:rsidRPr="006E5043" w:rsidRDefault="00523D82" w:rsidP="00652BCE">
            <w:pPr>
              <w:widowControl w:val="0"/>
              <w:spacing w:after="0" w:line="240" w:lineRule="auto"/>
              <w:rPr>
                <w:rFonts w:ascii="Times New Roman" w:eastAsia="Batang" w:hAnsi="Times New Roman"/>
                <w:snapToGrid w:val="0"/>
                <w:sz w:val="28"/>
                <w:szCs w:val="28"/>
                <w:lang w:val="en-US" w:eastAsia="ru-RU"/>
              </w:rPr>
            </w:pPr>
            <w:r w:rsidRPr="00687572">
              <w:rPr>
                <w:rFonts w:ascii="Times New Roman" w:eastAsia="Times New Roman" w:hAnsi="Times New Roman"/>
                <w:snapToGrid w:val="0"/>
                <w:sz w:val="28"/>
                <w:szCs w:val="28"/>
                <w:lang w:eastAsia="ru-RU"/>
              </w:rPr>
              <w:t>№</w:t>
            </w:r>
            <w:r w:rsidR="006E5043">
              <w:rPr>
                <w:rFonts w:ascii="Times New Roman" w:eastAsia="Times New Roman" w:hAnsi="Times New Roman"/>
                <w:snapToGrid w:val="0"/>
                <w:sz w:val="28"/>
                <w:szCs w:val="28"/>
                <w:lang w:val="en-US" w:eastAsia="ru-RU"/>
              </w:rPr>
              <w:t xml:space="preserve"> N062845</w:t>
            </w:r>
          </w:p>
        </w:tc>
        <w:tc>
          <w:tcPr>
            <w:tcW w:w="4536" w:type="dxa"/>
          </w:tcPr>
          <w:p w14:paraId="2836B863" w14:textId="77777777" w:rsidR="00523D82" w:rsidRPr="0068757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687572">
              <w:rPr>
                <w:rFonts w:ascii="Times New Roman" w:eastAsia="Times New Roman" w:hAnsi="Times New Roman"/>
                <w:b/>
                <w:snapToGrid w:val="0"/>
                <w:sz w:val="28"/>
                <w:szCs w:val="28"/>
                <w:lang w:eastAsia="ru-RU"/>
              </w:rPr>
              <w:t xml:space="preserve"> </w:t>
            </w:r>
          </w:p>
        </w:tc>
      </w:tr>
      <w:tr w:rsidR="00523D82" w:rsidRPr="00687572" w14:paraId="2672706F" w14:textId="77777777" w:rsidTr="007E1D85">
        <w:tc>
          <w:tcPr>
            <w:tcW w:w="5211" w:type="dxa"/>
          </w:tcPr>
          <w:p w14:paraId="4E033E0A" w14:textId="77777777" w:rsidR="00523D82" w:rsidRPr="0068757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6D6FD2CE" w14:textId="77777777" w:rsidR="00523D82" w:rsidRPr="0068757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75F72C7B" w14:textId="77777777" w:rsidR="00523D82" w:rsidRPr="00687572"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0F500EA5" w14:textId="77777777" w:rsidR="00D76048" w:rsidRPr="00687572" w:rsidRDefault="00D76048" w:rsidP="00A923FC">
      <w:pPr>
        <w:autoSpaceDE w:val="0"/>
        <w:autoSpaceDN w:val="0"/>
        <w:spacing w:after="0" w:line="240" w:lineRule="auto"/>
        <w:jc w:val="center"/>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Инструкция по медицинскому применению</w:t>
      </w:r>
    </w:p>
    <w:p w14:paraId="0D4E8BE3" w14:textId="77777777" w:rsidR="00D76048" w:rsidRPr="00687572"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 xml:space="preserve">лекарственного </w:t>
      </w:r>
      <w:r w:rsidR="007D0E84" w:rsidRPr="00687572">
        <w:rPr>
          <w:rFonts w:ascii="Times New Roman" w:eastAsia="Times New Roman" w:hAnsi="Times New Roman"/>
          <w:b/>
          <w:sz w:val="28"/>
          <w:szCs w:val="28"/>
          <w:lang w:eastAsia="ru-RU"/>
        </w:rPr>
        <w:t>препарата</w:t>
      </w:r>
      <w:r w:rsidR="00AE7922" w:rsidRPr="00687572">
        <w:rPr>
          <w:rFonts w:ascii="Times New Roman" w:eastAsia="Times New Roman" w:hAnsi="Times New Roman"/>
          <w:b/>
          <w:sz w:val="28"/>
          <w:szCs w:val="28"/>
          <w:lang w:eastAsia="ru-RU"/>
        </w:rPr>
        <w:t xml:space="preserve"> (</w:t>
      </w:r>
      <w:r w:rsidR="002C1660" w:rsidRPr="00687572">
        <w:rPr>
          <w:rFonts w:ascii="Times New Roman" w:eastAsia="Times New Roman" w:hAnsi="Times New Roman"/>
          <w:b/>
          <w:sz w:val="28"/>
          <w:szCs w:val="28"/>
          <w:lang w:eastAsia="ru-RU"/>
        </w:rPr>
        <w:t>Л</w:t>
      </w:r>
      <w:r w:rsidR="00AE7922" w:rsidRPr="00687572">
        <w:rPr>
          <w:rFonts w:ascii="Times New Roman" w:eastAsia="Times New Roman" w:hAnsi="Times New Roman"/>
          <w:b/>
          <w:sz w:val="28"/>
          <w:szCs w:val="28"/>
          <w:lang w:eastAsia="ru-RU"/>
        </w:rPr>
        <w:t>исток-вкладыш)</w:t>
      </w:r>
    </w:p>
    <w:p w14:paraId="195942EF" w14:textId="77777777" w:rsidR="002C76D7" w:rsidRDefault="00053573" w:rsidP="00053573">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Касфоцин</w:t>
      </w:r>
    </w:p>
    <w:p w14:paraId="10697889" w14:textId="77777777" w:rsidR="00053573" w:rsidRPr="00687572" w:rsidRDefault="00053573" w:rsidP="002C76D7">
      <w:pPr>
        <w:autoSpaceDE w:val="0"/>
        <w:autoSpaceDN w:val="0"/>
        <w:spacing w:after="0" w:line="240" w:lineRule="auto"/>
        <w:jc w:val="both"/>
        <w:rPr>
          <w:rFonts w:ascii="Times New Roman" w:eastAsia="Times New Roman" w:hAnsi="Times New Roman"/>
          <w:b/>
          <w:sz w:val="28"/>
          <w:szCs w:val="28"/>
          <w:lang w:eastAsia="ru-RU"/>
        </w:rPr>
      </w:pPr>
    </w:p>
    <w:p w14:paraId="3941CB9A" w14:textId="77777777" w:rsidR="002C76D7" w:rsidRPr="00687572"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 xml:space="preserve">Торговое </w:t>
      </w:r>
      <w:r w:rsidR="00E55D6C" w:rsidRPr="00687572">
        <w:rPr>
          <w:rFonts w:ascii="Times New Roman" w:eastAsia="Times New Roman" w:hAnsi="Times New Roman"/>
          <w:b/>
          <w:sz w:val="28"/>
          <w:szCs w:val="28"/>
          <w:lang w:eastAsia="ru-RU"/>
        </w:rPr>
        <w:t>наименование</w:t>
      </w:r>
      <w:r w:rsidR="00AE7922" w:rsidRPr="00687572">
        <w:rPr>
          <w:rFonts w:ascii="Times New Roman" w:eastAsia="Times New Roman" w:hAnsi="Times New Roman"/>
          <w:b/>
          <w:sz w:val="28"/>
          <w:szCs w:val="28"/>
          <w:lang w:eastAsia="ru-RU"/>
        </w:rPr>
        <w:t xml:space="preserve"> </w:t>
      </w:r>
    </w:p>
    <w:p w14:paraId="2C2CB6C0" w14:textId="77777777" w:rsidR="00A923FC" w:rsidRPr="00687572" w:rsidRDefault="00A923FC" w:rsidP="00844CE8">
      <w:pPr>
        <w:autoSpaceDE w:val="0"/>
        <w:autoSpaceDN w:val="0"/>
        <w:spacing w:after="0" w:line="240" w:lineRule="auto"/>
        <w:jc w:val="both"/>
        <w:rPr>
          <w:rFonts w:ascii="Times New Roman" w:eastAsia="Times New Roman" w:hAnsi="Times New Roman"/>
          <w:bCs/>
          <w:sz w:val="28"/>
          <w:szCs w:val="28"/>
          <w:lang w:eastAsia="ru-RU"/>
        </w:rPr>
      </w:pPr>
      <w:r w:rsidRPr="00687572">
        <w:rPr>
          <w:rFonts w:ascii="Times New Roman" w:eastAsia="Times New Roman" w:hAnsi="Times New Roman"/>
          <w:sz w:val="28"/>
          <w:szCs w:val="28"/>
          <w:lang w:eastAsia="ru-RU"/>
        </w:rPr>
        <w:t>Касфоцин</w:t>
      </w:r>
    </w:p>
    <w:p w14:paraId="4A6BBB7E" w14:textId="77777777" w:rsidR="002C76D7" w:rsidRPr="00687572" w:rsidRDefault="002C76D7" w:rsidP="00844CE8">
      <w:pPr>
        <w:autoSpaceDE w:val="0"/>
        <w:autoSpaceDN w:val="0"/>
        <w:spacing w:after="0" w:line="240" w:lineRule="auto"/>
        <w:jc w:val="both"/>
        <w:rPr>
          <w:rFonts w:ascii="Times New Roman" w:eastAsia="Times New Roman" w:hAnsi="Times New Roman"/>
          <w:bCs/>
          <w:sz w:val="28"/>
          <w:szCs w:val="28"/>
          <w:lang w:eastAsia="ru-RU"/>
        </w:rPr>
      </w:pPr>
    </w:p>
    <w:p w14:paraId="22049F27" w14:textId="77777777" w:rsidR="002C76D7" w:rsidRPr="00687572" w:rsidRDefault="00AE7922" w:rsidP="00844CE8">
      <w:pPr>
        <w:autoSpaceDE w:val="0"/>
        <w:autoSpaceDN w:val="0"/>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Международное непатентованное название</w:t>
      </w:r>
    </w:p>
    <w:p w14:paraId="265A4E7F" w14:textId="77777777" w:rsidR="00A923FC" w:rsidRPr="00687572" w:rsidRDefault="00A923FC" w:rsidP="00A923FC">
      <w:pPr>
        <w:widowControl w:val="0"/>
        <w:autoSpaceDE w:val="0"/>
        <w:autoSpaceDN w:val="0"/>
        <w:spacing w:after="0" w:line="240" w:lineRule="auto"/>
        <w:ind w:left="2977" w:hanging="2977"/>
        <w:jc w:val="both"/>
        <w:rPr>
          <w:rFonts w:ascii="Times New Roman" w:eastAsia="Times New Roman" w:hAnsi="Times New Roman"/>
          <w:bCs/>
          <w:sz w:val="28"/>
          <w:szCs w:val="28"/>
          <w:lang w:eastAsia="ru-RU"/>
        </w:rPr>
      </w:pPr>
      <w:r w:rsidRPr="00687572">
        <w:rPr>
          <w:rFonts w:ascii="Times New Roman" w:eastAsia="Times New Roman" w:hAnsi="Times New Roman"/>
          <w:bCs/>
          <w:sz w:val="28"/>
          <w:szCs w:val="28"/>
          <w:lang w:eastAsia="ru-RU"/>
        </w:rPr>
        <w:t>Каспофунгин</w:t>
      </w:r>
    </w:p>
    <w:p w14:paraId="718221DF" w14:textId="77777777" w:rsidR="002C76D7" w:rsidRPr="00687572"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285A49A5" w14:textId="77777777" w:rsidR="00D76048" w:rsidRPr="00687572"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 xml:space="preserve">Лекарственная форма, </w:t>
      </w:r>
      <w:r w:rsidR="00AE7922" w:rsidRPr="00687572">
        <w:rPr>
          <w:rFonts w:ascii="Times New Roman" w:eastAsia="Times New Roman" w:hAnsi="Times New Roman"/>
          <w:b/>
          <w:sz w:val="28"/>
          <w:szCs w:val="28"/>
          <w:lang w:eastAsia="ru-RU"/>
        </w:rPr>
        <w:t xml:space="preserve">дозировка  </w:t>
      </w:r>
    </w:p>
    <w:p w14:paraId="2AC80C7E" w14:textId="77777777" w:rsidR="00A923FC" w:rsidRPr="00687572" w:rsidRDefault="00A923FC" w:rsidP="00844CE8">
      <w:pPr>
        <w:autoSpaceDE w:val="0"/>
        <w:autoSpaceDN w:val="0"/>
        <w:spacing w:after="0" w:line="240" w:lineRule="auto"/>
        <w:jc w:val="both"/>
        <w:rPr>
          <w:rFonts w:ascii="Times New Roman" w:eastAsia="Times New Roman" w:hAnsi="Times New Roman"/>
          <w:bCs/>
          <w:sz w:val="28"/>
          <w:szCs w:val="28"/>
          <w:lang w:eastAsia="ru-RU"/>
        </w:rPr>
      </w:pPr>
      <w:r w:rsidRPr="00687572">
        <w:rPr>
          <w:rFonts w:ascii="Times New Roman" w:eastAsia="Times New Roman" w:hAnsi="Times New Roman"/>
          <w:sz w:val="28"/>
          <w:szCs w:val="28"/>
          <w:lang w:eastAsia="ru-RU"/>
        </w:rPr>
        <w:t>Лиофилизат для приготовления концентрата, предназначенного для получения раствора для инфузий, 50 мг</w:t>
      </w:r>
    </w:p>
    <w:p w14:paraId="57941789" w14:textId="77777777" w:rsidR="00B01011" w:rsidRPr="00687572"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6757D3D6" w14:textId="77777777" w:rsidR="002C1660" w:rsidRPr="00687572"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687572">
        <w:rPr>
          <w:rFonts w:ascii="Times New Roman" w:eastAsia="Times New Roman" w:hAnsi="Times New Roman"/>
          <w:b/>
          <w:bCs/>
          <w:snapToGrid w:val="0"/>
          <w:sz w:val="28"/>
          <w:szCs w:val="28"/>
          <w:lang w:eastAsia="ru-RU"/>
        </w:rPr>
        <w:t>Фармакотерапевтическая</w:t>
      </w:r>
      <w:bookmarkEnd w:id="0"/>
      <w:r w:rsidRPr="00687572">
        <w:rPr>
          <w:rFonts w:ascii="Times New Roman" w:eastAsia="Times New Roman" w:hAnsi="Times New Roman"/>
          <w:b/>
          <w:bCs/>
          <w:snapToGrid w:val="0"/>
          <w:sz w:val="28"/>
          <w:szCs w:val="28"/>
          <w:lang w:eastAsia="ru-RU"/>
        </w:rPr>
        <w:t xml:space="preserve"> группа</w:t>
      </w:r>
      <w:r w:rsidR="002C1660" w:rsidRPr="00687572">
        <w:rPr>
          <w:rFonts w:ascii="Times New Roman" w:eastAsia="Times New Roman" w:hAnsi="Times New Roman"/>
          <w:b/>
          <w:bCs/>
          <w:snapToGrid w:val="0"/>
          <w:sz w:val="28"/>
          <w:szCs w:val="28"/>
          <w:lang w:eastAsia="ru-RU"/>
        </w:rPr>
        <w:t xml:space="preserve"> </w:t>
      </w:r>
    </w:p>
    <w:p w14:paraId="2F669641" w14:textId="77777777" w:rsidR="00A923FC" w:rsidRPr="00687572" w:rsidRDefault="004C18F3" w:rsidP="00A923FC">
      <w:pPr>
        <w:keepNext/>
        <w:widowControl w:val="0"/>
        <w:autoSpaceDE w:val="0"/>
        <w:autoSpaceDN w:val="0"/>
        <w:spacing w:after="0" w:line="240" w:lineRule="auto"/>
        <w:jc w:val="both"/>
        <w:outlineLvl w:val="0"/>
        <w:rPr>
          <w:rFonts w:ascii="Times New Roman" w:hAnsi="Times New Roman"/>
          <w:color w:val="000000"/>
          <w:sz w:val="28"/>
          <w:szCs w:val="28"/>
        </w:rPr>
      </w:pPr>
      <w:r w:rsidRPr="00687572">
        <w:rPr>
          <w:rFonts w:ascii="Times New Roman" w:hAnsi="Times New Roman"/>
          <w:color w:val="000000"/>
          <w:sz w:val="28"/>
          <w:szCs w:val="28"/>
        </w:rPr>
        <w:t xml:space="preserve">Противоинфекционные препараты для системного </w:t>
      </w:r>
      <w:r w:rsidR="005A49D7">
        <w:rPr>
          <w:rFonts w:ascii="Times New Roman" w:hAnsi="Times New Roman"/>
          <w:color w:val="000000"/>
          <w:sz w:val="28"/>
          <w:szCs w:val="28"/>
        </w:rPr>
        <w:t>использования</w:t>
      </w:r>
      <w:r w:rsidRPr="00687572">
        <w:rPr>
          <w:rFonts w:ascii="Times New Roman" w:hAnsi="Times New Roman"/>
          <w:color w:val="000000"/>
          <w:sz w:val="28"/>
          <w:szCs w:val="28"/>
        </w:rPr>
        <w:t>.</w:t>
      </w:r>
      <w:r w:rsidR="00A923FC" w:rsidRPr="00687572">
        <w:rPr>
          <w:rFonts w:ascii="Times New Roman" w:hAnsi="Times New Roman"/>
          <w:color w:val="000000"/>
          <w:sz w:val="28"/>
          <w:szCs w:val="28"/>
        </w:rPr>
        <w:t xml:space="preserve">  Противогрибковые препараты для системного применения. </w:t>
      </w:r>
      <w:r w:rsidR="005A49D7">
        <w:rPr>
          <w:rFonts w:ascii="Times New Roman" w:hAnsi="Times New Roman"/>
          <w:color w:val="000000"/>
          <w:sz w:val="28"/>
          <w:szCs w:val="28"/>
        </w:rPr>
        <w:t>П</w:t>
      </w:r>
      <w:r w:rsidR="00A923FC" w:rsidRPr="00687572">
        <w:rPr>
          <w:rFonts w:ascii="Times New Roman" w:hAnsi="Times New Roman"/>
          <w:color w:val="000000"/>
          <w:sz w:val="28"/>
          <w:szCs w:val="28"/>
        </w:rPr>
        <w:t>ротивогрибковые препараты для системного применения</w:t>
      </w:r>
      <w:r w:rsidR="005A49D7">
        <w:rPr>
          <w:rFonts w:ascii="Times New Roman" w:hAnsi="Times New Roman"/>
          <w:color w:val="000000"/>
          <w:sz w:val="28"/>
          <w:szCs w:val="28"/>
        </w:rPr>
        <w:t xml:space="preserve"> другие</w:t>
      </w:r>
      <w:r w:rsidR="00A923FC" w:rsidRPr="00687572">
        <w:rPr>
          <w:rFonts w:ascii="Times New Roman" w:hAnsi="Times New Roman"/>
          <w:color w:val="000000"/>
          <w:sz w:val="28"/>
          <w:szCs w:val="28"/>
        </w:rPr>
        <w:t>. Каспофунгин.</w:t>
      </w:r>
    </w:p>
    <w:p w14:paraId="0D9F0978" w14:textId="77777777" w:rsidR="002C76D7" w:rsidRPr="00687572" w:rsidRDefault="00A923FC" w:rsidP="00A923FC">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687572">
        <w:rPr>
          <w:rFonts w:ascii="Times New Roman" w:hAnsi="Times New Roman"/>
          <w:color w:val="000000"/>
          <w:sz w:val="28"/>
          <w:szCs w:val="28"/>
        </w:rPr>
        <w:t>Код АТХ J02АХ04</w:t>
      </w:r>
      <w:r w:rsidR="002C76D7" w:rsidRPr="00687572">
        <w:rPr>
          <w:rFonts w:ascii="Times New Roman" w:hAnsi="Times New Roman"/>
          <w:sz w:val="28"/>
          <w:szCs w:val="28"/>
        </w:rPr>
        <w:br/>
      </w:r>
    </w:p>
    <w:p w14:paraId="293AE982" w14:textId="77777777" w:rsidR="002C76D7" w:rsidRPr="00687572"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rPr>
      </w:pPr>
      <w:r w:rsidRPr="00687572">
        <w:rPr>
          <w:rFonts w:ascii="Times New Roman" w:eastAsia="Times New Roman" w:hAnsi="Times New Roman"/>
          <w:b/>
          <w:bCs/>
          <w:sz w:val="28"/>
          <w:szCs w:val="28"/>
          <w:lang w:eastAsia="ru-RU"/>
        </w:rPr>
        <w:t>Показания к применению</w:t>
      </w:r>
      <w:r w:rsidR="002C76D7" w:rsidRPr="00687572">
        <w:rPr>
          <w:rFonts w:ascii="Times New Roman" w:hAnsi="Times New Roman"/>
          <w:color w:val="000000"/>
          <w:sz w:val="28"/>
          <w:szCs w:val="28"/>
          <w:highlight w:val="cyan"/>
        </w:rPr>
        <w:t xml:space="preserve"> </w:t>
      </w:r>
    </w:p>
    <w:p w14:paraId="541CDA72" w14:textId="77777777" w:rsidR="004C18F3" w:rsidRPr="00687572" w:rsidRDefault="006C7D08" w:rsidP="004C18F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4C18F3" w:rsidRPr="00687572">
        <w:rPr>
          <w:rFonts w:ascii="Times New Roman" w:hAnsi="Times New Roman"/>
          <w:sz w:val="28"/>
          <w:szCs w:val="28"/>
        </w:rPr>
        <w:t>лечение инвазивного кандидоза у взрослых и детей</w:t>
      </w:r>
    </w:p>
    <w:p w14:paraId="71F5266C" w14:textId="77777777" w:rsidR="004C18F3" w:rsidRPr="00687572" w:rsidRDefault="004C18F3" w:rsidP="004C18F3">
      <w:pPr>
        <w:tabs>
          <w:tab w:val="left" w:pos="8931"/>
        </w:tabs>
        <w:spacing w:after="0" w:line="240" w:lineRule="auto"/>
        <w:jc w:val="both"/>
        <w:rPr>
          <w:rFonts w:ascii="Times New Roman" w:hAnsi="Times New Roman"/>
          <w:sz w:val="28"/>
          <w:szCs w:val="28"/>
        </w:rPr>
      </w:pPr>
      <w:r w:rsidRPr="00687572">
        <w:rPr>
          <w:rFonts w:ascii="Times New Roman" w:hAnsi="Times New Roman"/>
          <w:sz w:val="28"/>
          <w:szCs w:val="28"/>
        </w:rPr>
        <w:t>- лечение инвазивного аспергиллеза у взрослых и детей с резистентностью или непереносимостью амфотерицина B, липидных форм амфотерицина B и/или итраконазола. Резистентность определяется как прогрессирование инфекции или отсутствие улучшения после как минимум 7 дней предшествующей противогрибковой терапии в эффективных терапевтических дозах</w:t>
      </w:r>
    </w:p>
    <w:p w14:paraId="64CFE35C" w14:textId="77777777" w:rsidR="004C18F3" w:rsidRPr="00687572" w:rsidRDefault="004C18F3" w:rsidP="004C18F3">
      <w:pPr>
        <w:tabs>
          <w:tab w:val="left" w:pos="8931"/>
        </w:tabs>
        <w:spacing w:after="0" w:line="240" w:lineRule="auto"/>
        <w:jc w:val="both"/>
        <w:rPr>
          <w:rFonts w:ascii="Times New Roman" w:hAnsi="Times New Roman"/>
          <w:sz w:val="28"/>
          <w:szCs w:val="28"/>
        </w:rPr>
      </w:pPr>
      <w:r w:rsidRPr="00687572">
        <w:rPr>
          <w:rFonts w:ascii="Times New Roman" w:hAnsi="Times New Roman"/>
          <w:sz w:val="28"/>
          <w:szCs w:val="28"/>
        </w:rPr>
        <w:t xml:space="preserve">- эмпирическая терапия при подозрении </w:t>
      </w:r>
      <w:bookmarkStart w:id="1" w:name="_Hlk69480649"/>
      <w:r w:rsidRPr="00687572">
        <w:rPr>
          <w:rFonts w:ascii="Times New Roman" w:hAnsi="Times New Roman"/>
          <w:sz w:val="28"/>
          <w:szCs w:val="28"/>
        </w:rPr>
        <w:t xml:space="preserve">грибковых инфекций (таких как </w:t>
      </w:r>
      <w:r w:rsidRPr="00687572">
        <w:rPr>
          <w:rFonts w:ascii="Times New Roman" w:hAnsi="Times New Roman"/>
          <w:i/>
          <w:iCs/>
          <w:sz w:val="28"/>
          <w:szCs w:val="28"/>
        </w:rPr>
        <w:t>Candida</w:t>
      </w:r>
      <w:r w:rsidRPr="00687572">
        <w:rPr>
          <w:rFonts w:ascii="Times New Roman" w:hAnsi="Times New Roman"/>
          <w:sz w:val="28"/>
          <w:szCs w:val="28"/>
        </w:rPr>
        <w:t xml:space="preserve"> или </w:t>
      </w:r>
      <w:r w:rsidRPr="00687572">
        <w:rPr>
          <w:rFonts w:ascii="Times New Roman" w:hAnsi="Times New Roman"/>
          <w:i/>
          <w:iCs/>
          <w:sz w:val="28"/>
          <w:szCs w:val="28"/>
        </w:rPr>
        <w:t>Aspergillus</w:t>
      </w:r>
      <w:r w:rsidRPr="00687572">
        <w:rPr>
          <w:rFonts w:ascii="Times New Roman" w:hAnsi="Times New Roman"/>
          <w:sz w:val="28"/>
          <w:szCs w:val="28"/>
        </w:rPr>
        <w:t>)</w:t>
      </w:r>
      <w:bookmarkEnd w:id="1"/>
      <w:r w:rsidRPr="00687572">
        <w:rPr>
          <w:rFonts w:ascii="Times New Roman" w:hAnsi="Times New Roman"/>
          <w:sz w:val="28"/>
          <w:szCs w:val="28"/>
        </w:rPr>
        <w:t xml:space="preserve"> у взрослых или детей с фебрильной нейтропенией</w:t>
      </w:r>
    </w:p>
    <w:p w14:paraId="16523071" w14:textId="77777777" w:rsidR="00844CE8" w:rsidRPr="00687572" w:rsidRDefault="00844CE8" w:rsidP="00844CE8">
      <w:pPr>
        <w:spacing w:after="0" w:line="240" w:lineRule="auto"/>
        <w:jc w:val="both"/>
        <w:rPr>
          <w:rFonts w:ascii="Times New Roman" w:eastAsia="Times New Roman" w:hAnsi="Times New Roman"/>
          <w:b/>
          <w:sz w:val="28"/>
          <w:szCs w:val="28"/>
          <w:lang w:eastAsia="ru-RU"/>
        </w:rPr>
      </w:pPr>
    </w:p>
    <w:p w14:paraId="6A1927BB" w14:textId="77777777" w:rsidR="00DB406A" w:rsidRPr="00687572" w:rsidRDefault="00DB406A" w:rsidP="00844CE8">
      <w:pPr>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Перечень сведений, н</w:t>
      </w:r>
      <w:r w:rsidR="00844CE8" w:rsidRPr="00687572">
        <w:rPr>
          <w:rFonts w:ascii="Times New Roman" w:eastAsia="Times New Roman" w:hAnsi="Times New Roman"/>
          <w:b/>
          <w:sz w:val="28"/>
          <w:szCs w:val="28"/>
          <w:lang w:eastAsia="ru-RU"/>
        </w:rPr>
        <w:t>еобходимых до начала применения</w:t>
      </w:r>
    </w:p>
    <w:p w14:paraId="6216121D" w14:textId="77777777" w:rsidR="007D0E84" w:rsidRPr="00687572" w:rsidRDefault="007D0E84" w:rsidP="00844CE8">
      <w:pPr>
        <w:spacing w:after="0" w:line="240" w:lineRule="auto"/>
        <w:jc w:val="both"/>
        <w:rPr>
          <w:rFonts w:ascii="Times New Roman" w:eastAsia="Times New Roman" w:hAnsi="Times New Roman"/>
          <w:b/>
          <w:i/>
          <w:sz w:val="28"/>
          <w:szCs w:val="28"/>
          <w:lang w:eastAsia="ru-RU"/>
        </w:rPr>
      </w:pPr>
      <w:r w:rsidRPr="00687572">
        <w:rPr>
          <w:rFonts w:ascii="Times New Roman" w:eastAsia="Times New Roman" w:hAnsi="Times New Roman"/>
          <w:b/>
          <w:i/>
          <w:sz w:val="28"/>
          <w:szCs w:val="28"/>
          <w:lang w:eastAsia="ru-RU"/>
        </w:rPr>
        <w:t>Противопоказания</w:t>
      </w:r>
    </w:p>
    <w:p w14:paraId="03C1D2EE" w14:textId="77777777" w:rsidR="004C18F3" w:rsidRDefault="004C18F3" w:rsidP="004C18F3">
      <w:pPr>
        <w:autoSpaceDE w:val="0"/>
        <w:autoSpaceDN w:val="0"/>
        <w:spacing w:after="0" w:line="240" w:lineRule="auto"/>
        <w:jc w:val="both"/>
        <w:rPr>
          <w:rFonts w:ascii="Times New Roman" w:hAnsi="Times New Roman"/>
          <w:sz w:val="28"/>
          <w:szCs w:val="28"/>
        </w:rPr>
      </w:pPr>
      <w:r w:rsidRPr="00687572">
        <w:rPr>
          <w:rFonts w:ascii="Times New Roman" w:hAnsi="Times New Roman"/>
          <w:sz w:val="28"/>
          <w:szCs w:val="28"/>
        </w:rPr>
        <w:t>-</w:t>
      </w:r>
      <w:r w:rsidR="00765C61" w:rsidRPr="00687572">
        <w:rPr>
          <w:rFonts w:ascii="Times New Roman" w:hAnsi="Times New Roman"/>
          <w:sz w:val="28"/>
          <w:szCs w:val="28"/>
        </w:rPr>
        <w:t xml:space="preserve"> </w:t>
      </w:r>
      <w:r w:rsidRPr="00687572">
        <w:rPr>
          <w:rFonts w:ascii="Times New Roman" w:hAnsi="Times New Roman"/>
          <w:sz w:val="28"/>
          <w:szCs w:val="28"/>
        </w:rPr>
        <w:t>гиперчувствительность к активному веществу или к любому из вспомогательных веществ</w:t>
      </w:r>
    </w:p>
    <w:p w14:paraId="3DC5B99F" w14:textId="77777777" w:rsidR="00C53956" w:rsidRPr="00C53956" w:rsidRDefault="00C53956" w:rsidP="004C18F3">
      <w:pPr>
        <w:autoSpaceDE w:val="0"/>
        <w:autoSpaceDN w:val="0"/>
        <w:spacing w:after="0" w:line="240" w:lineRule="auto"/>
        <w:jc w:val="both"/>
        <w:rPr>
          <w:rFonts w:ascii="Times New Roman" w:hAnsi="Times New Roman"/>
          <w:b/>
          <w:bCs/>
          <w:i/>
          <w:iCs/>
          <w:sz w:val="28"/>
          <w:szCs w:val="28"/>
        </w:rPr>
      </w:pPr>
      <w:r w:rsidRPr="00BF312E">
        <w:rPr>
          <w:rFonts w:ascii="Times New Roman" w:hAnsi="Times New Roman"/>
          <w:b/>
          <w:bCs/>
          <w:i/>
          <w:iCs/>
          <w:sz w:val="28"/>
          <w:szCs w:val="28"/>
        </w:rPr>
        <w:lastRenderedPageBreak/>
        <w:t>Необходимые меры предосторожности</w:t>
      </w:r>
      <w:r w:rsidR="00A82583" w:rsidRPr="00BF312E">
        <w:rPr>
          <w:rFonts w:ascii="Times New Roman" w:hAnsi="Times New Roman"/>
          <w:b/>
          <w:bCs/>
          <w:i/>
          <w:iCs/>
          <w:sz w:val="28"/>
          <w:szCs w:val="28"/>
        </w:rPr>
        <w:t xml:space="preserve"> п</w:t>
      </w:r>
      <w:r w:rsidR="00A82583">
        <w:rPr>
          <w:rFonts w:ascii="Times New Roman" w:hAnsi="Times New Roman"/>
          <w:b/>
          <w:bCs/>
          <w:i/>
          <w:iCs/>
          <w:sz w:val="28"/>
          <w:szCs w:val="28"/>
        </w:rPr>
        <w:t>ри применении</w:t>
      </w:r>
    </w:p>
    <w:p w14:paraId="656ED556" w14:textId="77777777" w:rsidR="00687572" w:rsidRPr="00687572" w:rsidRDefault="00A82583" w:rsidP="00A82583">
      <w:pPr>
        <w:autoSpaceDE w:val="0"/>
        <w:autoSpaceDN w:val="0"/>
        <w:spacing w:after="0" w:line="240" w:lineRule="auto"/>
        <w:jc w:val="both"/>
        <w:rPr>
          <w:rFonts w:ascii="Times New Roman" w:hAnsi="Times New Roman"/>
          <w:sz w:val="28"/>
          <w:szCs w:val="28"/>
        </w:rPr>
      </w:pPr>
      <w:r w:rsidRPr="00A82583">
        <w:rPr>
          <w:rFonts w:ascii="Times New Roman" w:hAnsi="Times New Roman"/>
          <w:sz w:val="28"/>
          <w:szCs w:val="28"/>
        </w:rPr>
        <w:t xml:space="preserve">Лечение </w:t>
      </w:r>
      <w:r>
        <w:rPr>
          <w:rFonts w:ascii="Times New Roman" w:hAnsi="Times New Roman"/>
          <w:sz w:val="28"/>
          <w:szCs w:val="28"/>
        </w:rPr>
        <w:t>каспофунгином</w:t>
      </w:r>
      <w:r w:rsidRPr="00A82583">
        <w:rPr>
          <w:rFonts w:ascii="Times New Roman" w:hAnsi="Times New Roman"/>
          <w:sz w:val="28"/>
          <w:szCs w:val="28"/>
        </w:rPr>
        <w:t xml:space="preserve"> должно начинаться и контролироваться специалистами, имеющими опыт лечения </w:t>
      </w:r>
      <w:r w:rsidR="00CE2493">
        <w:rPr>
          <w:rFonts w:ascii="Times New Roman" w:hAnsi="Times New Roman"/>
          <w:sz w:val="28"/>
          <w:szCs w:val="28"/>
        </w:rPr>
        <w:t>инвазивного кандидоза и аспергиллеза, а также опыт эмпирической терапии при подозрении</w:t>
      </w:r>
      <w:r w:rsidR="00CE2493" w:rsidRPr="00CE2493">
        <w:t xml:space="preserve"> </w:t>
      </w:r>
      <w:r w:rsidR="00CE2493" w:rsidRPr="00CE2493">
        <w:rPr>
          <w:rFonts w:ascii="Times New Roman" w:hAnsi="Times New Roman"/>
          <w:sz w:val="28"/>
          <w:szCs w:val="28"/>
        </w:rPr>
        <w:t>грибковых инфекций (таких как Candida или Aspergillus)</w:t>
      </w:r>
      <w:r w:rsidR="00CE2493">
        <w:rPr>
          <w:rFonts w:ascii="Times New Roman" w:hAnsi="Times New Roman"/>
          <w:sz w:val="28"/>
          <w:szCs w:val="28"/>
        </w:rPr>
        <w:t xml:space="preserve"> с фебрильной нейтропенией</w:t>
      </w:r>
      <w:r w:rsidR="007F3939">
        <w:rPr>
          <w:rFonts w:ascii="Times New Roman" w:hAnsi="Times New Roman"/>
          <w:sz w:val="28"/>
          <w:szCs w:val="28"/>
        </w:rPr>
        <w:t>.</w:t>
      </w:r>
    </w:p>
    <w:p w14:paraId="67FB3681" w14:textId="77777777" w:rsidR="007D0E84" w:rsidRPr="00687572" w:rsidRDefault="007D0E84" w:rsidP="00844CE8">
      <w:pPr>
        <w:spacing w:after="0" w:line="240" w:lineRule="auto"/>
        <w:jc w:val="both"/>
        <w:rPr>
          <w:rFonts w:ascii="Times New Roman" w:eastAsia="Times New Roman" w:hAnsi="Times New Roman"/>
          <w:b/>
          <w:i/>
          <w:sz w:val="28"/>
          <w:szCs w:val="28"/>
          <w:lang w:eastAsia="ru-RU"/>
        </w:rPr>
      </w:pPr>
      <w:r w:rsidRPr="00687572">
        <w:rPr>
          <w:rFonts w:ascii="Times New Roman" w:eastAsia="Times New Roman" w:hAnsi="Times New Roman"/>
          <w:b/>
          <w:i/>
          <w:sz w:val="28"/>
          <w:szCs w:val="28"/>
          <w:lang w:eastAsia="ru-RU"/>
        </w:rPr>
        <w:t>Взаимодействия с другими лекарственными препаратами</w:t>
      </w:r>
    </w:p>
    <w:p w14:paraId="2B66F324"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Исследования in vitro показывают, что каспофунгин не является ингибитором какого-либо фермента системы цитохрома P450 (CYP). В клинических исследованиях каспофунгин не индуцировал метаболизм CYP3A4 других веществ. Каспофунгин не является субстратом для P-гликопротеина и является слабым субстратом для ферментов цитохрома P450. Однако каспофунгин продемонстрировал взаимодействие с другими лекарственными препаратами в фармакологических и клинических исследованиях (см. ниже).</w:t>
      </w:r>
    </w:p>
    <w:p w14:paraId="278A84B8"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В двух клинических исследованиях, проведенных у здоровых взрослых добровольцев, циклоспорин А (одна доза 4 мг/кг или две дозы 3 мг/кг с интервалом 12 часов) увеличивал AUC каспофунгина примерно на 35 %. Данное увеличение AUC, вероятно, связано со снижением поглощения каспофунгина печенью. Каспофунгин не оказывал влияния на повышение уровня циклоспорина в плазме крови. При совместном применении каспофунгина и циклоспорина наблюдалось транзиторное повышение АЛТ и АСТ печени менее или равное 3-кратной верхней границы нормы (ВГН), что являлось обратимым после отмены лекарственной терапии. В ретроспективном исследовании 40 пациентов, получавших каспофунгин и циклоспорин в течение 1-290 дней (в среднем 17,5 дней), не отмечалось серьезных побочных реакций со стороны печени. При одновременном введении обоих препаратов необходимо тщательно контролировать ферменты печени.</w:t>
      </w:r>
    </w:p>
    <w:p w14:paraId="08125C1E"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Каспофунгин снижал концентрацию такролимуса на 26 %. Для пациентов, получающих оба препарата, стандартный мониторинг концентраций такролимуса в крови и соответствующая коррекция дозы такролимуса являются обязательными.</w:t>
      </w:r>
    </w:p>
    <w:p w14:paraId="43649323"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Исследования показали, что фармакокинетика каспофунгина не изменялась в клинически значимой степени при одновременном назначении с итраконазолом, амфотерицином В, микофенолятом, нелфинавиром или такролимусом. Каспофунгин в свою очередь не влиял на фармакокинетику амфотерицина В, итраконазола, рифампицина или микофенолята мофетила. Хотя данные по безопасности ограничены, особые меры предосторожности не требуются при сопутствующем применении амфотерицина B, итраконазола, нелфинавира или мофетила микофенолата с каспофунгином.</w:t>
      </w:r>
    </w:p>
    <w:p w14:paraId="046D6DF3" w14:textId="25364CFB"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 xml:space="preserve">В 1-ый день сопутствующего применения у здоровых взрослых добровольцев рифампицин вызвал увеличение AUC каспофунгина на 60 % и повышение его концентрации на 170%. Концентрации каспофунгина </w:t>
      </w:r>
      <w:r w:rsidRPr="00687572">
        <w:rPr>
          <w:rFonts w:ascii="Times New Roman" w:eastAsia="Times New Roman" w:hAnsi="Times New Roman"/>
          <w:bCs/>
          <w:iCs/>
          <w:sz w:val="28"/>
          <w:szCs w:val="28"/>
          <w:lang w:eastAsia="ru-RU"/>
        </w:rPr>
        <w:lastRenderedPageBreak/>
        <w:t>постепенно снижались при повторном введении. После двухнедельного введения рифампицин оказывал ограниченное влияние на AUC, но концентрация каспофунгина была на 30% ниже, чем у взрослых пациентов, получавших только один каспофунгин. Механизм взаимодействия возможно обусловлен изначальным ингибированием и последующим индуцированием транспортных белков. Подобный эффект можно было ожидать и для других лекарственных препаратов, которые индуцируют метаболические ферменты</w:t>
      </w:r>
      <w:r w:rsidR="004447C2">
        <w:rPr>
          <w:rFonts w:ascii="Times New Roman" w:eastAsia="Times New Roman" w:hAnsi="Times New Roman"/>
          <w:bCs/>
          <w:iCs/>
          <w:sz w:val="28"/>
          <w:szCs w:val="28"/>
          <w:lang w:eastAsia="ru-RU"/>
        </w:rPr>
        <w:t>.</w:t>
      </w:r>
    </w:p>
    <w:p w14:paraId="751FBAA5"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Ограниченные данные популяционных фармакокинетических исследований указывают на то, что одновременное применение каспофунгина с индукторами эфавирензом, невирапином, рифампицином, дексаметазоном, дифенином или карбамазепином может привести к уменьшению AUC каспофунгина. При сопутствующем применении индукторов метаболических ферментов, необходимо рассмотреть возможность повышения суточной дозы каспофунгина у взрослых пациентов до 70 мг, после нагрузочной дозы 70 мг</w:t>
      </w:r>
      <w:r w:rsidR="00687572">
        <w:rPr>
          <w:rFonts w:ascii="Times New Roman" w:eastAsia="Times New Roman" w:hAnsi="Times New Roman"/>
          <w:bCs/>
          <w:iCs/>
          <w:sz w:val="28"/>
          <w:szCs w:val="28"/>
          <w:lang w:eastAsia="ru-RU"/>
        </w:rPr>
        <w:t>.</w:t>
      </w:r>
    </w:p>
    <w:p w14:paraId="5D48550F"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Все описанные выше данные лекарственных взаимодействий у взрослых проводились с применением суточной дозы каспофунгина 50 или 70 мг. Взаимодействие более высоких доз каспофунгина с другими лекарственными препаратами официально не изучалось.</w:t>
      </w:r>
    </w:p>
    <w:p w14:paraId="3AF409E0"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Результаты регрессионного анализа фармакокинетических данных у детей свидетельствуют о том, что одновременное применение дексаметазона с каспофунгином может привести к клинически значимым снижениям концентраций каспофунгина. Эти данные могут указывать на то, что у детей при применении с индукторами будут наблюдаться аналогичные снижения концентраций, как и у взрослых. При одновременном применении у детей (от 12 месяцев до 17 лет) каспофунгина с индукторами клиренса лекарственных веществ, таких как рифампицин, эфавиренз, невирапин, фенитоин, дексаметазон или карбамазепин, следует рассмотреть возможность применения дозы 70 мг/м</w:t>
      </w:r>
      <w:r w:rsidRPr="00687572">
        <w:rPr>
          <w:rFonts w:ascii="Times New Roman" w:eastAsia="Times New Roman" w:hAnsi="Times New Roman"/>
          <w:bCs/>
          <w:iCs/>
          <w:sz w:val="28"/>
          <w:szCs w:val="28"/>
          <w:vertAlign w:val="superscript"/>
          <w:lang w:eastAsia="ru-RU"/>
        </w:rPr>
        <w:t>2</w:t>
      </w:r>
      <w:r w:rsidRPr="00687572">
        <w:rPr>
          <w:rFonts w:ascii="Times New Roman" w:eastAsia="Times New Roman" w:hAnsi="Times New Roman"/>
          <w:bCs/>
          <w:iCs/>
          <w:sz w:val="28"/>
          <w:szCs w:val="28"/>
          <w:lang w:eastAsia="ru-RU"/>
        </w:rPr>
        <w:t xml:space="preserve"> в сутки (не превышая фактической суточной дозы 70 мг).</w:t>
      </w:r>
    </w:p>
    <w:p w14:paraId="3F2B9FA8" w14:textId="77777777" w:rsidR="00D43297" w:rsidRPr="00687572" w:rsidRDefault="00D43297" w:rsidP="00844CE8">
      <w:pPr>
        <w:spacing w:after="0" w:line="240" w:lineRule="auto"/>
        <w:jc w:val="both"/>
        <w:rPr>
          <w:rFonts w:ascii="Times New Roman" w:eastAsia="Times New Roman" w:hAnsi="Times New Roman"/>
          <w:b/>
          <w:i/>
          <w:sz w:val="28"/>
          <w:szCs w:val="28"/>
          <w:lang w:eastAsia="ru-RU"/>
        </w:rPr>
      </w:pPr>
      <w:r w:rsidRPr="00687572">
        <w:rPr>
          <w:rFonts w:ascii="Times New Roman" w:eastAsia="Times New Roman" w:hAnsi="Times New Roman"/>
          <w:b/>
          <w:i/>
          <w:sz w:val="28"/>
          <w:szCs w:val="28"/>
          <w:lang w:eastAsia="ru-RU"/>
        </w:rPr>
        <w:t>Специальные предупреждения</w:t>
      </w:r>
    </w:p>
    <w:p w14:paraId="0798BC3D"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Сообщалось о случаях анафилаксии при применении каспофунгина. В этом случае следует прекратить прием каспофунгина и назначить соответствующее лечение. Сообщалось о возможности развития гистамин - опосредованных нежелательных реакций, включая сыпь, отек лица, ангионевротический отек, зуд, чувство жара или бронхоспазм, которые могут потребовать прекращения приема препарата и/или назначения соответствующего лечения.</w:t>
      </w:r>
    </w:p>
    <w:p w14:paraId="097A1939"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 xml:space="preserve">Ограниченные данные свидетельствуют о том, что каспофунгин не обладает активностью против менее распространенных грибков, не относящихся к  видам </w:t>
      </w:r>
      <w:r w:rsidRPr="00687572">
        <w:rPr>
          <w:rFonts w:ascii="Times New Roman" w:eastAsia="Times New Roman" w:hAnsi="Times New Roman"/>
          <w:bCs/>
          <w:i/>
          <w:sz w:val="28"/>
          <w:szCs w:val="28"/>
          <w:lang w:eastAsia="ru-RU"/>
        </w:rPr>
        <w:t>Candida</w:t>
      </w:r>
      <w:r w:rsidRPr="00687572">
        <w:rPr>
          <w:rFonts w:ascii="Times New Roman" w:eastAsia="Times New Roman" w:hAnsi="Times New Roman"/>
          <w:bCs/>
          <w:iCs/>
          <w:sz w:val="28"/>
          <w:szCs w:val="28"/>
          <w:lang w:eastAsia="ru-RU"/>
        </w:rPr>
        <w:t xml:space="preserve"> и </w:t>
      </w:r>
      <w:r w:rsidRPr="00687572">
        <w:rPr>
          <w:rFonts w:ascii="Times New Roman" w:eastAsia="Times New Roman" w:hAnsi="Times New Roman"/>
          <w:bCs/>
          <w:i/>
          <w:sz w:val="28"/>
          <w:szCs w:val="28"/>
          <w:lang w:eastAsia="ru-RU"/>
        </w:rPr>
        <w:t>Aspergillus</w:t>
      </w:r>
      <w:r w:rsidRPr="00687572">
        <w:rPr>
          <w:rFonts w:ascii="Times New Roman" w:eastAsia="Times New Roman" w:hAnsi="Times New Roman"/>
          <w:bCs/>
          <w:iCs/>
          <w:sz w:val="28"/>
          <w:szCs w:val="28"/>
          <w:lang w:eastAsia="ru-RU"/>
        </w:rPr>
        <w:t>. Эффективность каспофунгина против этих патогенных грибков не установлена.</w:t>
      </w:r>
    </w:p>
    <w:p w14:paraId="2C2667DD"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 xml:space="preserve">Сопутствующее введение каспофунгина с циклоспорином оценивали у здоровых взрослых добровольцев и взрослых пациентов. У некоторых </w:t>
      </w:r>
      <w:r w:rsidRPr="00687572">
        <w:rPr>
          <w:rFonts w:ascii="Times New Roman" w:eastAsia="Times New Roman" w:hAnsi="Times New Roman"/>
          <w:bCs/>
          <w:iCs/>
          <w:sz w:val="28"/>
          <w:szCs w:val="28"/>
          <w:lang w:eastAsia="ru-RU"/>
        </w:rPr>
        <w:lastRenderedPageBreak/>
        <w:t>здоровых добровольцев, получавших две дозы по 3 мг/кг циклоспо</w:t>
      </w:r>
      <w:r w:rsidR="006C7D08">
        <w:rPr>
          <w:rFonts w:ascii="Times New Roman" w:eastAsia="Times New Roman" w:hAnsi="Times New Roman"/>
          <w:bCs/>
          <w:iCs/>
          <w:sz w:val="28"/>
          <w:szCs w:val="28"/>
          <w:lang w:eastAsia="ru-RU"/>
        </w:rPr>
        <w:t xml:space="preserve">рина и каспофунгин, наблюдалось </w:t>
      </w:r>
      <w:r w:rsidRPr="00687572">
        <w:rPr>
          <w:rFonts w:ascii="Times New Roman" w:eastAsia="Times New Roman" w:hAnsi="Times New Roman"/>
          <w:bCs/>
          <w:iCs/>
          <w:sz w:val="28"/>
          <w:szCs w:val="28"/>
          <w:lang w:eastAsia="ru-RU"/>
        </w:rPr>
        <w:t>преходящее повышение активности печеночных ферментов AЛT и AСT менее или в 3 раза выше верхней границы нормы (ВГН), которые нормализовались после отмены лечения. В ретроспективном пострегистрационном исследовании у 40 пациентов, получавших одновременно каспофунгин и циклоспорин в течение 1-290 дней (в среднем 17,5 дней), серьезных нежелательных реакций со стороны печени не отмечалось. Эти данные свидетельствуют о том, что каспофунгин можно применять у пациентов, получающих циклоспорин, если ожидаемая польза превышает потенциальный риск. При одновременном применении каспофунгина и циклоспорина необходимо тщательно контролировать ферменты печени.</w:t>
      </w:r>
    </w:p>
    <w:p w14:paraId="586B600D"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У взрослых пациентов с печеночной недостаточностью легкой и средней тяжести AUC каспофунгина увеличивалась примерно на 20 % и 75 %, соответственно. У взрослых с печеночной недостаточностью средней тяжести рекомендуется снижение суточной дозы до 35 мг. Клинический опыт применения каспофунгина у взрослых пациентов с тяжелой печеночной недостаточностью и у детей с любой степенью тяжести печеночной недостаточности отсутствует. У этих пациентов ожидается более высокая экспозиция, чем у пациентов с печеночной недостаточностью средней тяжести, поэтому каспофунгин следует применять с осторожностью у данной категории пациентов.</w:t>
      </w:r>
    </w:p>
    <w:p w14:paraId="2A50B99A"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Лабораторные отклонения в функциональных пробах печени наблюдались у здоровых добровольцев, а также у взрослых пациентов и детей, которых лечили каспофунгином. У некоторых взрослых и детей с серьезными основными заболеваниями, получавших несколько сопутствующих препаратов с каспофунгином, зарегистрированы случаи клинически значимой печеночной дисфункции, гепатита и печеночной недостаточности; хотя причинно-следственная связь с каспофунгином не установлена. Пациентов с отклонениями функциональных проб печени во время лечения каспофунгином необходимо наблюдать с целью выявления ухудшения функции печени и повторно оценить соотношение риска/пользы продолжения терапии каспофунгином.</w:t>
      </w:r>
    </w:p>
    <w:p w14:paraId="75ED0B7B" w14:textId="77777777" w:rsidR="00614E92" w:rsidRPr="00687572" w:rsidRDefault="00614E92" w:rsidP="00614E92">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Сообщалось о случаях синдрома Стивенса-Джонсона (SJS) и токсического эпидермального некролиза (TEN) в пострегистрационный период применения каспофунгина. Необходимо соблюдать осторожность у пациентов с кожными аллергическими реакциями в анамнезе.</w:t>
      </w:r>
    </w:p>
    <w:p w14:paraId="21DE52EA" w14:textId="77777777" w:rsidR="00614E92" w:rsidRDefault="00614E92" w:rsidP="00844CE8">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Это лекарственное средство содержит сахарозу. Пациенты с наследственной непереносимостью фруктозы или дефицитом фермента сукразы-изомальтазы не должны принимать Касфоцин.</w:t>
      </w:r>
    </w:p>
    <w:p w14:paraId="691F9DC4" w14:textId="77777777" w:rsidR="00F83E1E" w:rsidRPr="00687572" w:rsidRDefault="00F83E1E" w:rsidP="00844CE8">
      <w:pPr>
        <w:spacing w:after="0" w:line="240" w:lineRule="auto"/>
        <w:jc w:val="both"/>
        <w:rPr>
          <w:rFonts w:ascii="Times New Roman" w:eastAsia="Times New Roman" w:hAnsi="Times New Roman"/>
          <w:bCs/>
          <w:iCs/>
          <w:sz w:val="28"/>
          <w:szCs w:val="28"/>
          <w:lang w:eastAsia="ru-RU"/>
        </w:rPr>
      </w:pPr>
      <w:r w:rsidRPr="00F83E1E">
        <w:rPr>
          <w:rFonts w:ascii="Times New Roman" w:eastAsia="Times New Roman" w:hAnsi="Times New Roman"/>
          <w:bCs/>
          <w:iCs/>
          <w:sz w:val="28"/>
          <w:szCs w:val="28"/>
          <w:lang w:eastAsia="ru-RU"/>
        </w:rPr>
        <w:t>Данный препарат содержит 0-0.16 мг натрия гидроксида в одном флаконе, исходя из этого минимального количества, можно считать, что препарат «свободен от натрия».</w:t>
      </w:r>
    </w:p>
    <w:p w14:paraId="7CF46255" w14:textId="77777777" w:rsidR="00EF594A" w:rsidRPr="00AC68B9" w:rsidRDefault="00D43297" w:rsidP="00EF594A">
      <w:pPr>
        <w:spacing w:after="0" w:line="240" w:lineRule="auto"/>
        <w:jc w:val="both"/>
        <w:rPr>
          <w:rFonts w:ascii="Times New Roman" w:hAnsi="Times New Roman"/>
          <w:i/>
          <w:sz w:val="28"/>
          <w:szCs w:val="28"/>
        </w:rPr>
      </w:pPr>
      <w:r w:rsidRPr="00687572">
        <w:rPr>
          <w:rFonts w:ascii="Times New Roman" w:hAnsi="Times New Roman"/>
          <w:i/>
          <w:sz w:val="28"/>
          <w:szCs w:val="28"/>
        </w:rPr>
        <w:t>Во время беременности или лактации</w:t>
      </w:r>
    </w:p>
    <w:p w14:paraId="466D59EE" w14:textId="77777777" w:rsidR="00EF594A" w:rsidRPr="00AC68B9"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lastRenderedPageBreak/>
        <w:t>Данные по применению каспофунгина беременными женщинами отсутствуют или ограничены. Каспофунгин не следует использовать во время беременности, если нет острой необходимости. Исследования на животных выявили токсические свойства при развитии. В исследованиях на животных было установлено, что каспофунгин проникает через плацентарный барьер.</w:t>
      </w:r>
    </w:p>
    <w:p w14:paraId="6C1FCD75" w14:textId="77777777" w:rsidR="00EF594A" w:rsidRPr="00AC68B9"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Неизвестно, выделяется ли каспофунгин с грудным молоком. Доступные фармакодинамические/токсикологические данные у животных выявили свойство каспофунгина выделяться с грудным молоком. Женщинам, принимающим каспофунгин, следует отменить грудное вскармливание.</w:t>
      </w:r>
    </w:p>
    <w:p w14:paraId="1B1A0515" w14:textId="77777777" w:rsidR="00EF594A" w:rsidRPr="00687572" w:rsidRDefault="00EF594A" w:rsidP="00EF594A">
      <w:pPr>
        <w:spacing w:after="0" w:line="240" w:lineRule="auto"/>
        <w:jc w:val="both"/>
        <w:rPr>
          <w:rFonts w:ascii="Times New Roman" w:eastAsia="Times New Roman" w:hAnsi="Times New Roman"/>
          <w:bCs/>
          <w:iCs/>
          <w:sz w:val="28"/>
          <w:szCs w:val="28"/>
          <w:lang w:eastAsia="ru-RU"/>
        </w:rPr>
      </w:pPr>
      <w:r w:rsidRPr="00687572">
        <w:rPr>
          <w:rFonts w:ascii="Times New Roman" w:eastAsia="Times New Roman" w:hAnsi="Times New Roman"/>
          <w:bCs/>
          <w:iCs/>
          <w:sz w:val="28"/>
          <w:szCs w:val="28"/>
          <w:lang w:eastAsia="ru-RU"/>
        </w:rPr>
        <w:t>В исследованиях, проведенных на самцах и самках крыс, не обнаружено никакого влияния на фертильность. Клинические данные по каспофунгину для оценки его влияния на фертильность отсутствуют.</w:t>
      </w:r>
    </w:p>
    <w:p w14:paraId="5041A89B" w14:textId="77777777" w:rsidR="00FA4F7C" w:rsidRPr="00687572" w:rsidRDefault="00FA4F7C" w:rsidP="00844CE8">
      <w:pPr>
        <w:spacing w:after="0" w:line="240" w:lineRule="auto"/>
        <w:jc w:val="both"/>
        <w:rPr>
          <w:rFonts w:ascii="Times New Roman" w:hAnsi="Times New Roman"/>
          <w:i/>
          <w:sz w:val="28"/>
          <w:szCs w:val="28"/>
        </w:rPr>
      </w:pPr>
      <w:r w:rsidRPr="00687572">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01EE2212" w14:textId="77777777" w:rsidR="00EF594A" w:rsidRPr="00687572" w:rsidRDefault="00EF594A" w:rsidP="00EF594A">
      <w:pPr>
        <w:spacing w:after="0" w:line="240" w:lineRule="auto"/>
        <w:jc w:val="both"/>
        <w:rPr>
          <w:rFonts w:ascii="Times New Roman" w:eastAsia="Times New Roman" w:hAnsi="Times New Roman"/>
          <w:sz w:val="28"/>
          <w:szCs w:val="28"/>
          <w:lang w:eastAsia="ru-RU"/>
        </w:rPr>
      </w:pPr>
      <w:r w:rsidRPr="00687572">
        <w:rPr>
          <w:rFonts w:ascii="Times New Roman" w:eastAsia="Times New Roman" w:hAnsi="Times New Roman"/>
          <w:sz w:val="28"/>
          <w:szCs w:val="28"/>
          <w:lang w:eastAsia="ru-RU"/>
        </w:rPr>
        <w:t>Исследования по изучению влияния на способность к управлению транспортными средствами и использованию механизмов не проводились. Учитывая возможность развития головной боли на фоне лечения Касфоцином, нужно проявлять особую осторожность при управлении автомобилем и работе с механизмами.</w:t>
      </w:r>
    </w:p>
    <w:p w14:paraId="279DC543" w14:textId="77777777" w:rsidR="007D0E84" w:rsidRPr="00687572" w:rsidRDefault="007D0E84" w:rsidP="00844CE8">
      <w:pPr>
        <w:spacing w:after="0" w:line="240" w:lineRule="auto"/>
        <w:jc w:val="both"/>
        <w:rPr>
          <w:rFonts w:ascii="Times New Roman" w:eastAsia="Times New Roman" w:hAnsi="Times New Roman"/>
          <w:bCs/>
          <w:sz w:val="28"/>
          <w:szCs w:val="28"/>
          <w:lang w:eastAsia="ru-RU"/>
        </w:rPr>
      </w:pPr>
    </w:p>
    <w:p w14:paraId="6AA56212" w14:textId="77777777" w:rsidR="00DB406A" w:rsidRPr="00687572" w:rsidRDefault="00DB406A" w:rsidP="00844CE8">
      <w:pPr>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Рекомендации по применению</w:t>
      </w:r>
    </w:p>
    <w:p w14:paraId="65B04F5D" w14:textId="77777777" w:rsidR="005C4B12" w:rsidRPr="00687572"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687572">
        <w:rPr>
          <w:rFonts w:ascii="Times New Roman" w:eastAsia="Times New Roman" w:hAnsi="Times New Roman"/>
          <w:b/>
          <w:i/>
          <w:sz w:val="28"/>
          <w:szCs w:val="28"/>
          <w:lang w:eastAsia="ru-RU"/>
        </w:rPr>
        <w:t>Режим дозирования</w:t>
      </w:r>
      <w:r w:rsidR="00617843" w:rsidRPr="00687572">
        <w:rPr>
          <w:rFonts w:ascii="Times New Roman" w:eastAsia="Times New Roman" w:hAnsi="Times New Roman"/>
          <w:b/>
          <w:i/>
          <w:sz w:val="28"/>
          <w:szCs w:val="28"/>
          <w:lang w:eastAsia="ru-RU"/>
        </w:rPr>
        <w:t xml:space="preserve"> </w:t>
      </w:r>
    </w:p>
    <w:p w14:paraId="37E1822B" w14:textId="77777777" w:rsidR="00EF594A" w:rsidRPr="00687572" w:rsidRDefault="00EF594A" w:rsidP="00EF594A">
      <w:pPr>
        <w:spacing w:after="0" w:line="240" w:lineRule="auto"/>
        <w:ind w:right="-20"/>
        <w:jc w:val="both"/>
        <w:rPr>
          <w:rFonts w:ascii="Times New Roman" w:hAnsi="Times New Roman"/>
          <w:sz w:val="28"/>
          <w:szCs w:val="28"/>
        </w:rPr>
      </w:pPr>
      <w:bookmarkStart w:id="3" w:name="2175220275"/>
      <w:bookmarkEnd w:id="2"/>
      <w:r w:rsidRPr="00687572">
        <w:rPr>
          <w:rFonts w:ascii="Times New Roman" w:hAnsi="Times New Roman"/>
          <w:sz w:val="28"/>
          <w:szCs w:val="28"/>
        </w:rPr>
        <w:t xml:space="preserve">Касфоцин должен назначать терапевт, имеющий опыт лечения инвазивных грибковых инфекций. </w:t>
      </w:r>
    </w:p>
    <w:p w14:paraId="614B8E3A"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i/>
          <w:sz w:val="28"/>
          <w:szCs w:val="28"/>
        </w:rPr>
        <w:t>Взрослые пациенты</w:t>
      </w:r>
    </w:p>
    <w:p w14:paraId="2A9C2269"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В 1</w:t>
      </w:r>
      <w:r w:rsidRPr="00687572">
        <w:rPr>
          <w:rFonts w:ascii="Times New Roman" w:hAnsi="Times New Roman"/>
          <w:sz w:val="28"/>
          <w:szCs w:val="28"/>
          <w:vertAlign w:val="superscript"/>
        </w:rPr>
        <w:t>ый</w:t>
      </w:r>
      <w:r w:rsidRPr="00687572">
        <w:rPr>
          <w:rFonts w:ascii="Times New Roman" w:hAnsi="Times New Roman"/>
          <w:sz w:val="28"/>
          <w:szCs w:val="28"/>
        </w:rPr>
        <w:t xml:space="preserve"> день следует ввести однократную нагрузочную дозу 70 мг, затем вводят по 50 мг в день. Пациентам весом более 80 кг после начальной нагрузочной дозы 70 мг рекомендуется вводить по 70 мг Касфоцина в день. Коррекция дозы в зависимости от пола или расы не требуется.</w:t>
      </w:r>
    </w:p>
    <w:p w14:paraId="42E0D9BB"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i/>
          <w:sz w:val="28"/>
          <w:szCs w:val="28"/>
        </w:rPr>
        <w:t>Дети (от 12 месяцев до 17 лет)</w:t>
      </w:r>
    </w:p>
    <w:p w14:paraId="470DAEA1"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У детей (от 12 месяцев до 17 лет) доза рассчитывается в зависимости от площади поверхности тела пациента (по формуле Мостеллера). По всем показаниям в  1</w:t>
      </w:r>
      <w:r w:rsidRPr="00687572">
        <w:rPr>
          <w:rFonts w:ascii="Times New Roman" w:hAnsi="Times New Roman"/>
          <w:sz w:val="28"/>
          <w:szCs w:val="28"/>
          <w:vertAlign w:val="superscript"/>
        </w:rPr>
        <w:t>ый</w:t>
      </w:r>
      <w:r w:rsidRPr="00687572">
        <w:rPr>
          <w:rFonts w:ascii="Times New Roman" w:hAnsi="Times New Roman"/>
          <w:sz w:val="28"/>
          <w:szCs w:val="28"/>
        </w:rPr>
        <w:t xml:space="preserve"> день вводят однократную нагрузочную дозу 70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(не превышать фактическую дозу 70 мг!),  затем по 50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ежедневно (не превышать фактическую дозу в 70 мг в день!). Если суточная доза 50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хорошо переносится, но не обеспечивает адекватный клинический ответ, суточная доза может быть увеличена до 70 мг/м </w:t>
      </w:r>
      <w:r w:rsidRPr="00687572">
        <w:rPr>
          <w:rFonts w:ascii="Times New Roman" w:hAnsi="Times New Roman"/>
          <w:sz w:val="28"/>
          <w:szCs w:val="28"/>
          <w:vertAlign w:val="superscript"/>
        </w:rPr>
        <w:t>2</w:t>
      </w:r>
      <w:r w:rsidRPr="00687572">
        <w:rPr>
          <w:rFonts w:ascii="Times New Roman" w:hAnsi="Times New Roman"/>
          <w:sz w:val="28"/>
          <w:szCs w:val="28"/>
        </w:rPr>
        <w:t>/день (не превышать фактическую суточную дозу 70 мг!).</w:t>
      </w:r>
    </w:p>
    <w:p w14:paraId="72F12C34"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 xml:space="preserve">Безопасность и эффективность каспофунгина недостаточно изучены в клинических испытаниях с участием новорожденных и младенцев до          12 месяцев. При лечении данной возрастной группы рекомендуется соблюдать осторожность. Ограниченные данные свидетельствуют, что для новорожденных и младенцев до 3 месяцев можно рассматривать дозу </w:t>
      </w:r>
      <w:r w:rsidRPr="00687572">
        <w:rPr>
          <w:rFonts w:ascii="Times New Roman" w:hAnsi="Times New Roman"/>
          <w:sz w:val="28"/>
          <w:szCs w:val="28"/>
        </w:rPr>
        <w:lastRenderedPageBreak/>
        <w:t>каспофунгина 25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в день, а для младенцев в возрасте от 3 до 11 месяцев - 50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в день.</w:t>
      </w:r>
    </w:p>
    <w:p w14:paraId="2939BF4D" w14:textId="77777777" w:rsidR="00EF594A" w:rsidRPr="00687572" w:rsidRDefault="00EF594A" w:rsidP="00EF594A">
      <w:pPr>
        <w:spacing w:after="0" w:line="240" w:lineRule="auto"/>
        <w:ind w:right="-20"/>
        <w:jc w:val="both"/>
        <w:rPr>
          <w:rFonts w:ascii="Times New Roman" w:hAnsi="Times New Roman"/>
          <w:i/>
          <w:sz w:val="28"/>
          <w:szCs w:val="28"/>
        </w:rPr>
      </w:pPr>
      <w:r w:rsidRPr="00687572">
        <w:rPr>
          <w:rFonts w:ascii="Times New Roman" w:hAnsi="Times New Roman"/>
          <w:i/>
          <w:sz w:val="28"/>
          <w:szCs w:val="28"/>
        </w:rPr>
        <w:t>Продолжительность лечения</w:t>
      </w:r>
    </w:p>
    <w:p w14:paraId="276CC2EB"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Продолжительность эмпирической терапии должна основываться на клиническом ответе пациента. Терапия должна продолжаться до 72 часов после разрешения нейтропении (ANC≥ 500). Пациенты с подтвержденной грибковой инфекцией должны получать терапию в течение как минимум  14 дней, и лечение следует продолжать в течение как минимум 7 дней после устранения нейтропении и клинических симптомов.</w:t>
      </w:r>
    </w:p>
    <w:p w14:paraId="127E71F6"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Продолжительность лечения инвазивного кандидоза должна основываться на клиническом и микробиологическом ответе пациента. После улучшения клинической картины инвазивного кандидоза и получения отрицательных результатов микробиологических тестов можно рассмотреть возможность перехода на пероральную противогрибковую терапию. В целом, противогрибковая терапия должна продолжаться как минимум 14 дней после последнего положительного результата высева культуры.</w:t>
      </w:r>
    </w:p>
    <w:p w14:paraId="17E6B3E0" w14:textId="77777777" w:rsidR="00EF594A" w:rsidRPr="00687572" w:rsidRDefault="00EF594A" w:rsidP="00EF594A">
      <w:pPr>
        <w:shd w:val="clear" w:color="auto" w:fill="FFFFFF"/>
        <w:spacing w:after="0" w:line="240" w:lineRule="auto"/>
        <w:jc w:val="both"/>
        <w:rPr>
          <w:rFonts w:ascii="Times New Roman" w:hAnsi="Times New Roman"/>
          <w:sz w:val="28"/>
          <w:szCs w:val="28"/>
        </w:rPr>
      </w:pPr>
      <w:r w:rsidRPr="00687572">
        <w:rPr>
          <w:rFonts w:ascii="Times New Roman" w:hAnsi="Times New Roman"/>
          <w:sz w:val="28"/>
          <w:szCs w:val="28"/>
        </w:rPr>
        <w:t xml:space="preserve">Продолжительность лечения инвазивного аспергиллеза определяется в каждом конкретном случае и в зависимости от тяжести основного заболевания пациента, восстановления после иммуносупрессии и клинического ответа. В целом лечение должно продолжаться не менее </w:t>
      </w:r>
      <w:r w:rsidR="00B14257">
        <w:rPr>
          <w:rFonts w:ascii="Times New Roman" w:hAnsi="Times New Roman"/>
          <w:sz w:val="28"/>
          <w:szCs w:val="28"/>
        </w:rPr>
        <w:t xml:space="preserve">      </w:t>
      </w:r>
      <w:r w:rsidRPr="00687572">
        <w:rPr>
          <w:rFonts w:ascii="Times New Roman" w:hAnsi="Times New Roman"/>
          <w:sz w:val="28"/>
          <w:szCs w:val="28"/>
        </w:rPr>
        <w:t>7 дней после устранения симптомов.</w:t>
      </w:r>
    </w:p>
    <w:p w14:paraId="088F531F"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Сведения о безопасности лечения продолжительностью более 4 недель ограничены. Однако имеющиеся данные свидетельствуют о том, что каспофунгин хорошо переносится и при более длительных курсах лечения (до 162 дней у взрослых и до 87 дней у детей).</w:t>
      </w:r>
    </w:p>
    <w:p w14:paraId="7D748F52" w14:textId="77777777" w:rsidR="00EF594A" w:rsidRPr="00687572" w:rsidRDefault="00EF594A" w:rsidP="00EF594A">
      <w:pPr>
        <w:spacing w:after="0" w:line="240" w:lineRule="auto"/>
        <w:ind w:right="-20"/>
        <w:jc w:val="both"/>
        <w:rPr>
          <w:rFonts w:ascii="Times New Roman" w:hAnsi="Times New Roman"/>
          <w:i/>
          <w:sz w:val="28"/>
          <w:szCs w:val="28"/>
        </w:rPr>
      </w:pPr>
      <w:r w:rsidRPr="00687572">
        <w:rPr>
          <w:rFonts w:ascii="Times New Roman" w:hAnsi="Times New Roman"/>
          <w:i/>
          <w:sz w:val="28"/>
          <w:szCs w:val="28"/>
        </w:rPr>
        <w:t xml:space="preserve">Особые группы пациентов </w:t>
      </w:r>
    </w:p>
    <w:p w14:paraId="7BAB2C6E"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i/>
          <w:sz w:val="28"/>
          <w:szCs w:val="28"/>
        </w:rPr>
        <w:t>Пациенты пожилого возраста</w:t>
      </w:r>
    </w:p>
    <w:p w14:paraId="70D46AAC"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У пациентов пожилого возраста (65 лет и старше) площадь под кривой (AUC) увеличивалась приблизительно на 30 %. Однако систематическая коррекция дозы не требуется. Опыт лечения пациентов в возрасте 65 лет и старше ограничен.</w:t>
      </w:r>
    </w:p>
    <w:p w14:paraId="200D4C49"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i/>
          <w:iCs/>
          <w:sz w:val="28"/>
          <w:szCs w:val="28"/>
        </w:rPr>
        <w:t>Пациенты с почечной недостаточностью</w:t>
      </w:r>
    </w:p>
    <w:p w14:paraId="3934537A" w14:textId="77777777" w:rsidR="00EF594A" w:rsidRPr="00687572" w:rsidRDefault="00EF594A" w:rsidP="00EF594A">
      <w:pPr>
        <w:shd w:val="clear" w:color="auto" w:fill="FFFFFF"/>
        <w:spacing w:after="0" w:line="240" w:lineRule="auto"/>
        <w:jc w:val="both"/>
        <w:rPr>
          <w:rFonts w:ascii="Times New Roman" w:hAnsi="Times New Roman"/>
          <w:sz w:val="28"/>
          <w:szCs w:val="28"/>
        </w:rPr>
      </w:pPr>
      <w:r w:rsidRPr="00687572">
        <w:rPr>
          <w:rFonts w:ascii="Times New Roman" w:hAnsi="Times New Roman"/>
          <w:sz w:val="28"/>
          <w:szCs w:val="28"/>
        </w:rPr>
        <w:t>У пациентов с почечной недостаточностью коррекция дозы не требуется.</w:t>
      </w:r>
    </w:p>
    <w:p w14:paraId="277349B0"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i/>
          <w:iCs/>
          <w:sz w:val="28"/>
          <w:szCs w:val="28"/>
        </w:rPr>
        <w:t>Пациенты с п</w:t>
      </w:r>
      <w:r w:rsidRPr="00687572">
        <w:rPr>
          <w:rFonts w:ascii="Times New Roman" w:hAnsi="Times New Roman"/>
          <w:i/>
          <w:sz w:val="28"/>
          <w:szCs w:val="28"/>
        </w:rPr>
        <w:t>еченочной недостаточностью</w:t>
      </w:r>
    </w:p>
    <w:p w14:paraId="0CDE9AAA" w14:textId="77777777" w:rsidR="00EF594A" w:rsidRPr="00687572" w:rsidRDefault="00EF594A" w:rsidP="00EF594A">
      <w:pPr>
        <w:spacing w:after="0" w:line="240" w:lineRule="auto"/>
        <w:ind w:right="-20"/>
        <w:jc w:val="both"/>
        <w:rPr>
          <w:rFonts w:ascii="Times New Roman" w:hAnsi="Times New Roman"/>
          <w:sz w:val="28"/>
          <w:szCs w:val="28"/>
        </w:rPr>
      </w:pPr>
      <w:r w:rsidRPr="00687572">
        <w:rPr>
          <w:rFonts w:ascii="Times New Roman" w:hAnsi="Times New Roman"/>
          <w:sz w:val="28"/>
          <w:szCs w:val="28"/>
        </w:rPr>
        <w:t>Для взрослых пациентов с печеночной недостаточностью легкой степени тяжести (5 – 6 баллов по шкале Чайлд-Пью) коррекция дозы не требуется. Согласно фармакокинетическим данным взрослым пациентам с печеночной недостаточностью средней тяжести (от 7 до 9 баллов по шкале Чайлд-Пью) рекомендуется доза каспофунгина 35 мг в день. В 1</w:t>
      </w:r>
      <w:r w:rsidRPr="00687572">
        <w:rPr>
          <w:rFonts w:ascii="Times New Roman" w:hAnsi="Times New Roman"/>
          <w:sz w:val="28"/>
          <w:szCs w:val="28"/>
          <w:vertAlign w:val="superscript"/>
        </w:rPr>
        <w:t>ый</w:t>
      </w:r>
      <w:r w:rsidRPr="00687572">
        <w:rPr>
          <w:rFonts w:ascii="Times New Roman" w:hAnsi="Times New Roman"/>
          <w:sz w:val="28"/>
          <w:szCs w:val="28"/>
        </w:rPr>
        <w:t xml:space="preserve"> день необходимо ввести начальную нагрузочную дозу  70 мг. Клинический опыт применения у взрослых пациентов с тяжелой печеночной недостаточностью (выше 9 баллов по шкале Чайльда-Пью) и у детей с любой степенью тяжести печеночной недостаточности отсутствует.</w:t>
      </w:r>
    </w:p>
    <w:p w14:paraId="52E0284D" w14:textId="77777777" w:rsidR="00EF594A" w:rsidRPr="00687572" w:rsidRDefault="00EF594A" w:rsidP="00EF594A">
      <w:pPr>
        <w:shd w:val="clear" w:color="auto" w:fill="FFFFFF"/>
        <w:spacing w:after="0" w:line="240" w:lineRule="auto"/>
        <w:jc w:val="both"/>
        <w:rPr>
          <w:rFonts w:ascii="Times New Roman" w:hAnsi="Times New Roman"/>
          <w:i/>
          <w:sz w:val="28"/>
          <w:szCs w:val="28"/>
        </w:rPr>
      </w:pPr>
      <w:r w:rsidRPr="00687572">
        <w:rPr>
          <w:rFonts w:ascii="Times New Roman" w:hAnsi="Times New Roman"/>
          <w:i/>
          <w:sz w:val="28"/>
          <w:szCs w:val="28"/>
        </w:rPr>
        <w:t>Одновременное введение с индукторами метаболических ферментов</w:t>
      </w:r>
    </w:p>
    <w:p w14:paraId="7C76E2D1" w14:textId="77777777" w:rsidR="00EF594A" w:rsidRPr="00687572" w:rsidRDefault="00EF594A" w:rsidP="00EF594A">
      <w:pPr>
        <w:shd w:val="clear" w:color="auto" w:fill="FFFFFF"/>
        <w:spacing w:after="0" w:line="240" w:lineRule="auto"/>
        <w:jc w:val="both"/>
        <w:rPr>
          <w:rFonts w:ascii="Times New Roman" w:hAnsi="Times New Roman"/>
          <w:sz w:val="28"/>
          <w:szCs w:val="28"/>
        </w:rPr>
      </w:pPr>
      <w:r w:rsidRPr="00687572">
        <w:rPr>
          <w:rFonts w:ascii="Times New Roman" w:hAnsi="Times New Roman"/>
          <w:sz w:val="28"/>
          <w:szCs w:val="28"/>
        </w:rPr>
        <w:lastRenderedPageBreak/>
        <w:t>Ограниченные данные свидетельствуют о том, что при одновременном введении каспофунгина с некоторыми индукторами метаболических ферментов взрослым пациентам рекомендуется повышение суточной дозы каспофунгина до 70 мг, следующей после нагрузочной дозы 70 мг. Когда каспофунгин вводится одновремен-но с этими же индукторами метаболических ферментов детям от 12 месяцев до 17 лет, рекомендуемая доза каспофунгина - 70 мг/м </w:t>
      </w:r>
      <w:r w:rsidRPr="00687572">
        <w:rPr>
          <w:rFonts w:ascii="Times New Roman" w:hAnsi="Times New Roman"/>
          <w:sz w:val="28"/>
          <w:szCs w:val="28"/>
          <w:vertAlign w:val="superscript"/>
        </w:rPr>
        <w:t>2</w:t>
      </w:r>
      <w:r w:rsidRPr="00687572">
        <w:rPr>
          <w:rFonts w:ascii="Times New Roman" w:hAnsi="Times New Roman"/>
          <w:sz w:val="28"/>
          <w:szCs w:val="28"/>
        </w:rPr>
        <w:t> ежедневно (не должна превышать фактическую суточную дозу 70 мг!).</w:t>
      </w:r>
    </w:p>
    <w:p w14:paraId="77E86BC0" w14:textId="77777777" w:rsidR="005C4B12" w:rsidRPr="00687572" w:rsidRDefault="00DB406A" w:rsidP="00844CE8">
      <w:pPr>
        <w:spacing w:after="0" w:line="240" w:lineRule="auto"/>
        <w:jc w:val="both"/>
        <w:rPr>
          <w:rFonts w:ascii="Times New Roman" w:hAnsi="Times New Roman"/>
          <w:i/>
          <w:color w:val="000000"/>
          <w:sz w:val="28"/>
          <w:szCs w:val="28"/>
        </w:rPr>
      </w:pPr>
      <w:r w:rsidRPr="00687572">
        <w:rPr>
          <w:rFonts w:ascii="Times New Roman" w:eastAsia="Times New Roman" w:hAnsi="Times New Roman"/>
          <w:b/>
          <w:i/>
          <w:sz w:val="28"/>
          <w:szCs w:val="28"/>
          <w:lang w:eastAsia="ru-RU"/>
        </w:rPr>
        <w:t>Метод и путь введения</w:t>
      </w:r>
      <w:r w:rsidRPr="00687572">
        <w:rPr>
          <w:rFonts w:ascii="Times New Roman" w:hAnsi="Times New Roman"/>
          <w:i/>
          <w:color w:val="000000"/>
          <w:sz w:val="28"/>
          <w:szCs w:val="28"/>
        </w:rPr>
        <w:t xml:space="preserve"> </w:t>
      </w:r>
    </w:p>
    <w:p w14:paraId="2A7AA075" w14:textId="77777777" w:rsidR="00EF594A" w:rsidRPr="00687572" w:rsidRDefault="00EF594A" w:rsidP="00EF594A">
      <w:pPr>
        <w:spacing w:after="0" w:line="240" w:lineRule="auto"/>
        <w:jc w:val="both"/>
        <w:rPr>
          <w:rFonts w:ascii="Times New Roman" w:hAnsi="Times New Roman"/>
          <w:sz w:val="28"/>
          <w:szCs w:val="28"/>
        </w:rPr>
      </w:pPr>
      <w:bookmarkStart w:id="4" w:name="2175220276"/>
      <w:bookmarkEnd w:id="3"/>
      <w:r w:rsidRPr="00687572">
        <w:rPr>
          <w:rFonts w:ascii="Times New Roman" w:hAnsi="Times New Roman"/>
          <w:sz w:val="28"/>
          <w:szCs w:val="28"/>
        </w:rPr>
        <w:t>После восстановления и разведения раствор Касфоцина следует вводить путем медленной внутривенной инфузии в течение примерно 1 часа, 1 раз в сутки.</w:t>
      </w:r>
    </w:p>
    <w:p w14:paraId="3D6A7E26" w14:textId="77777777" w:rsidR="00EF594A" w:rsidRPr="00687572" w:rsidRDefault="00EF594A" w:rsidP="00EF594A">
      <w:pPr>
        <w:spacing w:after="0" w:line="20" w:lineRule="atLeast"/>
        <w:jc w:val="center"/>
        <w:rPr>
          <w:rFonts w:ascii="Times New Roman" w:hAnsi="Times New Roman"/>
          <w:b/>
          <w:i/>
          <w:sz w:val="28"/>
          <w:szCs w:val="28"/>
          <w:u w:val="single"/>
        </w:rPr>
      </w:pPr>
      <w:r w:rsidRPr="00687572">
        <w:rPr>
          <w:rFonts w:ascii="Times New Roman" w:hAnsi="Times New Roman"/>
          <w:b/>
          <w:i/>
          <w:sz w:val="28"/>
          <w:szCs w:val="28"/>
          <w:u w:val="single"/>
        </w:rPr>
        <w:t>Указания по применению у взрослых пациентов</w:t>
      </w:r>
    </w:p>
    <w:p w14:paraId="397642E2" w14:textId="77777777" w:rsidR="00EF594A" w:rsidRPr="00687572" w:rsidRDefault="00EF594A" w:rsidP="00EF594A">
      <w:pPr>
        <w:spacing w:after="0" w:line="20" w:lineRule="atLeast"/>
        <w:jc w:val="both"/>
        <w:rPr>
          <w:rFonts w:ascii="Times New Roman" w:hAnsi="Times New Roman"/>
          <w:i/>
          <w:sz w:val="28"/>
          <w:szCs w:val="28"/>
        </w:rPr>
      </w:pPr>
      <w:r w:rsidRPr="00687572">
        <w:rPr>
          <w:rFonts w:ascii="Times New Roman" w:hAnsi="Times New Roman"/>
          <w:i/>
          <w:sz w:val="28"/>
          <w:szCs w:val="28"/>
        </w:rPr>
        <w:t>Шаг 1. Приготовление первичного раствора (восстановленного) во флаконе</w:t>
      </w:r>
    </w:p>
    <w:p w14:paraId="08F0B218" w14:textId="77777777" w:rsidR="00EF594A" w:rsidRPr="00687572" w:rsidRDefault="00EF594A" w:rsidP="00EF594A">
      <w:pPr>
        <w:spacing w:after="0" w:line="20" w:lineRule="atLeast"/>
        <w:jc w:val="both"/>
        <w:rPr>
          <w:rFonts w:ascii="Times New Roman" w:hAnsi="Times New Roman"/>
          <w:i/>
          <w:sz w:val="28"/>
          <w:szCs w:val="28"/>
        </w:rPr>
      </w:pPr>
      <w:r w:rsidRPr="00687572">
        <w:rPr>
          <w:rFonts w:ascii="Times New Roman" w:hAnsi="Times New Roman"/>
          <w:bCs/>
          <w:iCs/>
          <w:sz w:val="28"/>
          <w:szCs w:val="28"/>
        </w:rPr>
        <w:t xml:space="preserve">Перед разведением </w:t>
      </w:r>
      <w:r w:rsidRPr="00687572">
        <w:rPr>
          <w:rFonts w:ascii="Times New Roman" w:hAnsi="Times New Roman"/>
          <w:sz w:val="28"/>
          <w:szCs w:val="28"/>
        </w:rPr>
        <w:t xml:space="preserve">холодный флакон с порошком Касфоцина необходимо довести до комнатной температуры и в условиях соблюдения асептики добавить 10.5 мл воды для инъекций </w:t>
      </w:r>
      <w:r w:rsidRPr="00687572">
        <w:rPr>
          <w:rFonts w:ascii="Times New Roman" w:hAnsi="Times New Roman"/>
          <w:snapToGrid w:val="0"/>
          <w:sz w:val="28"/>
          <w:szCs w:val="28"/>
        </w:rPr>
        <w:t>или раствора Рингера</w:t>
      </w:r>
      <w:r w:rsidRPr="00687572">
        <w:rPr>
          <w:rFonts w:ascii="Times New Roman" w:hAnsi="Times New Roman"/>
          <w:sz w:val="28"/>
          <w:szCs w:val="28"/>
        </w:rPr>
        <w:t>. Концентрация препарата в первичном растворе (во флаконе 50 мг) составит 5.2 мг/мл.</w:t>
      </w:r>
    </w:p>
    <w:p w14:paraId="14ECFBF8" w14:textId="77777777" w:rsidR="00EF594A" w:rsidRPr="00687572" w:rsidRDefault="00EF594A" w:rsidP="00EF594A">
      <w:pPr>
        <w:spacing w:after="0" w:line="20" w:lineRule="atLeast"/>
        <w:ind w:right="-20"/>
        <w:jc w:val="both"/>
        <w:rPr>
          <w:rFonts w:ascii="Times New Roman" w:hAnsi="Times New Roman"/>
          <w:sz w:val="28"/>
          <w:szCs w:val="28"/>
        </w:rPr>
      </w:pPr>
      <w:r w:rsidRPr="00687572">
        <w:rPr>
          <w:rFonts w:ascii="Times New Roman" w:hAnsi="Times New Roman"/>
          <w:sz w:val="28"/>
          <w:szCs w:val="28"/>
        </w:rPr>
        <w:t>Белый или почти белый лиофилизированный порошок должен полностью раствориться. Осторожно перемешайте содержимое флакона до получения прозрачного раствора. Восстановленный первичный раствор следует визуально проверить на наличие твердых частиц или изменения цвета. Восстановленный раствор можно хранить в течение 24 часов при температуре 25 °C и ниже.</w:t>
      </w:r>
    </w:p>
    <w:p w14:paraId="628B03E0" w14:textId="77777777" w:rsidR="00EF594A" w:rsidRPr="00687572" w:rsidRDefault="00EF594A" w:rsidP="00EF594A">
      <w:pPr>
        <w:spacing w:after="0" w:line="20" w:lineRule="atLeast"/>
        <w:ind w:right="-20"/>
        <w:jc w:val="both"/>
        <w:rPr>
          <w:rFonts w:ascii="Times New Roman" w:hAnsi="Times New Roman"/>
          <w:i/>
          <w:sz w:val="28"/>
          <w:szCs w:val="28"/>
        </w:rPr>
      </w:pPr>
      <w:r w:rsidRPr="00687572">
        <w:rPr>
          <w:rFonts w:ascii="Times New Roman" w:hAnsi="Times New Roman"/>
          <w:i/>
          <w:sz w:val="28"/>
          <w:szCs w:val="28"/>
        </w:rPr>
        <w:t>Шаг 2 Добавление восстановленного Касфоцина в раствор для инфузий</w:t>
      </w:r>
    </w:p>
    <w:p w14:paraId="0A209DB7" w14:textId="77777777" w:rsidR="00EF594A" w:rsidRPr="00687572" w:rsidRDefault="00EF594A" w:rsidP="00EF594A">
      <w:pPr>
        <w:spacing w:after="0" w:line="20" w:lineRule="atLeast"/>
        <w:ind w:right="-20"/>
        <w:jc w:val="both"/>
        <w:rPr>
          <w:rFonts w:ascii="Times New Roman" w:hAnsi="Times New Roman"/>
          <w:sz w:val="28"/>
          <w:szCs w:val="28"/>
        </w:rPr>
      </w:pPr>
      <w:r w:rsidRPr="00687572">
        <w:rPr>
          <w:rFonts w:ascii="Times New Roman" w:hAnsi="Times New Roman"/>
          <w:sz w:val="28"/>
          <w:szCs w:val="28"/>
        </w:rPr>
        <w:t>В качестве растворителей используются раствор хлорида натрия для инъекций или раствор Рингера с лактатом. Раствор для инфузии готовят путем асептического добавления соответствующего количества восстановленного концентрата (как указано в таблице 1 ниже) в инфузионный мешок или флакон объемом 250 мл. По медицинским показаниям можно применять для инфузии уменьшенный объем в 100 мл для суточных доз 50 мг или 35 мг. Не использовать, если раствор мутный или образовался осадок.</w:t>
      </w:r>
    </w:p>
    <w:p w14:paraId="204F3A31" w14:textId="77777777" w:rsidR="00EF594A" w:rsidRPr="00687572" w:rsidRDefault="00EF594A" w:rsidP="00D15675">
      <w:pPr>
        <w:spacing w:after="0" w:line="20" w:lineRule="atLeast"/>
        <w:ind w:right="-20"/>
        <w:jc w:val="both"/>
        <w:rPr>
          <w:rFonts w:ascii="Times New Roman" w:hAnsi="Times New Roman"/>
          <w:i/>
          <w:sz w:val="28"/>
          <w:szCs w:val="28"/>
          <w:u w:val="single"/>
        </w:rPr>
      </w:pPr>
      <w:r w:rsidRPr="00687572">
        <w:rPr>
          <w:rFonts w:ascii="Times New Roman" w:hAnsi="Times New Roman"/>
          <w:i/>
          <w:sz w:val="28"/>
          <w:szCs w:val="28"/>
        </w:rPr>
        <w:t xml:space="preserve">Таблица 1. Приготовление инфузионного раствора для взрослых пациентов </w:t>
      </w:r>
      <w:r w:rsidRPr="00687572">
        <w:rPr>
          <w:rFonts w:ascii="Times New Roman" w:hAnsi="Times New Roman"/>
          <w:i/>
          <w:sz w:val="28"/>
          <w:szCs w:val="28"/>
          <w:u w:val="single"/>
        </w:rPr>
        <w:t>(с использованием флакона 50 мг)</w:t>
      </w:r>
    </w:p>
    <w:p w14:paraId="1A7832EF" w14:textId="77777777" w:rsidR="00EF594A" w:rsidRPr="00687572" w:rsidRDefault="00EF594A" w:rsidP="00EF594A">
      <w:pPr>
        <w:spacing w:after="0" w:line="20" w:lineRule="atLeast"/>
        <w:ind w:left="142" w:right="-20"/>
        <w:jc w:val="both"/>
        <w:rPr>
          <w:rFonts w:ascii="Times New Roman" w:hAnsi="Times New Roman"/>
          <w:i/>
          <w:sz w:val="28"/>
          <w:szCs w:val="28"/>
          <w:u w:val="single"/>
        </w:rPr>
      </w:pPr>
    </w:p>
    <w:tbl>
      <w:tblPr>
        <w:tblW w:w="9214" w:type="dxa"/>
        <w:tblInd w:w="5" w:type="dxa"/>
        <w:tblLayout w:type="fixed"/>
        <w:tblCellMar>
          <w:left w:w="0" w:type="dxa"/>
          <w:right w:w="0" w:type="dxa"/>
        </w:tblCellMar>
        <w:tblLook w:val="01E0" w:firstRow="1" w:lastRow="1" w:firstColumn="1" w:lastColumn="1" w:noHBand="0" w:noVBand="0"/>
      </w:tblPr>
      <w:tblGrid>
        <w:gridCol w:w="2831"/>
        <w:gridCol w:w="2272"/>
        <w:gridCol w:w="1984"/>
        <w:gridCol w:w="2127"/>
      </w:tblGrid>
      <w:tr w:rsidR="00EF594A" w:rsidRPr="00687572" w14:paraId="3CC2BBB2" w14:textId="77777777" w:rsidTr="00EB3F16">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1046B918" w14:textId="77777777" w:rsidR="00EF594A" w:rsidRPr="00687572" w:rsidRDefault="00EF594A" w:rsidP="00EB3F16">
            <w:pPr>
              <w:tabs>
                <w:tab w:val="left" w:pos="5954"/>
              </w:tabs>
              <w:spacing w:after="0" w:line="20" w:lineRule="atLeast"/>
              <w:ind w:left="67" w:right="-4"/>
              <w:rPr>
                <w:rFonts w:ascii="Times New Roman" w:hAnsi="Times New Roman"/>
                <w:sz w:val="28"/>
                <w:szCs w:val="28"/>
              </w:rPr>
            </w:pPr>
            <w:r w:rsidRPr="00687572">
              <w:rPr>
                <w:rFonts w:ascii="Times New Roman" w:hAnsi="Times New Roman"/>
                <w:b/>
                <w:sz w:val="28"/>
                <w:szCs w:val="28"/>
              </w:rPr>
              <w:t>ДОЗА*</w:t>
            </w:r>
          </w:p>
        </w:tc>
        <w:tc>
          <w:tcPr>
            <w:tcW w:w="2272" w:type="dxa"/>
            <w:tcBorders>
              <w:top w:val="single" w:sz="4" w:space="0" w:color="000000"/>
              <w:left w:val="single" w:sz="4" w:space="0" w:color="000000"/>
              <w:bottom w:val="single" w:sz="4" w:space="0" w:color="000000"/>
              <w:right w:val="single" w:sz="4" w:space="0" w:color="000000"/>
            </w:tcBorders>
            <w:vAlign w:val="center"/>
          </w:tcPr>
          <w:p w14:paraId="04377F07" w14:textId="19C9502C" w:rsidR="00EF594A" w:rsidRPr="00687572" w:rsidRDefault="00EF594A" w:rsidP="00EB3F16">
            <w:pPr>
              <w:tabs>
                <w:tab w:val="left" w:pos="5954"/>
              </w:tabs>
              <w:spacing w:after="0" w:line="20" w:lineRule="atLeast"/>
              <w:ind w:left="67" w:right="-4"/>
              <w:rPr>
                <w:rFonts w:ascii="Times New Roman" w:hAnsi="Times New Roman"/>
                <w:sz w:val="28"/>
                <w:szCs w:val="28"/>
              </w:rPr>
            </w:pPr>
            <w:r w:rsidRPr="00687572">
              <w:rPr>
                <w:rFonts w:ascii="Times New Roman" w:hAnsi="Times New Roman"/>
                <w:b/>
                <w:sz w:val="28"/>
                <w:szCs w:val="28"/>
              </w:rPr>
              <w:t xml:space="preserve">Объем </w:t>
            </w:r>
            <w:r w:rsidR="00EC6669" w:rsidRPr="00687572">
              <w:rPr>
                <w:rFonts w:ascii="Times New Roman" w:hAnsi="Times New Roman"/>
                <w:b/>
                <w:sz w:val="28"/>
                <w:szCs w:val="28"/>
              </w:rPr>
              <w:t>восстановлен</w:t>
            </w:r>
            <w:r w:rsidR="00EC6669">
              <w:rPr>
                <w:rFonts w:ascii="Times New Roman" w:hAnsi="Times New Roman"/>
                <w:b/>
                <w:sz w:val="28"/>
                <w:szCs w:val="28"/>
              </w:rPr>
              <w:t>ного</w:t>
            </w:r>
            <w:r w:rsidRPr="00687572">
              <w:rPr>
                <w:rFonts w:ascii="Times New Roman" w:hAnsi="Times New Roman"/>
                <w:b/>
                <w:sz w:val="28"/>
                <w:szCs w:val="28"/>
              </w:rPr>
              <w:t xml:space="preserve"> Касфоцина для переноса в мешок или флакон для внутривенных инфузий</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0D096" w14:textId="40B61D95" w:rsidR="00EF594A" w:rsidRPr="00687572" w:rsidRDefault="00EF594A" w:rsidP="00EB3F16">
            <w:pPr>
              <w:tabs>
                <w:tab w:val="left" w:pos="5954"/>
              </w:tabs>
              <w:spacing w:after="0" w:line="20" w:lineRule="atLeast"/>
              <w:ind w:left="67" w:right="-4"/>
              <w:rPr>
                <w:rFonts w:ascii="Times New Roman" w:hAnsi="Times New Roman"/>
                <w:sz w:val="28"/>
                <w:szCs w:val="28"/>
              </w:rPr>
            </w:pPr>
            <w:r w:rsidRPr="00687572">
              <w:rPr>
                <w:rFonts w:ascii="Times New Roman" w:hAnsi="Times New Roman"/>
                <w:b/>
                <w:sz w:val="28"/>
                <w:szCs w:val="28"/>
              </w:rPr>
              <w:t>Стандартное приготовление</w:t>
            </w:r>
            <w:r w:rsidRPr="00687572">
              <w:rPr>
                <w:rFonts w:ascii="Times New Roman" w:hAnsi="Times New Roman"/>
                <w:sz w:val="28"/>
                <w:szCs w:val="28"/>
              </w:rPr>
              <w:t xml:space="preserve"> (</w:t>
            </w:r>
            <w:r w:rsidR="00EC6669" w:rsidRPr="00687572">
              <w:rPr>
                <w:rFonts w:ascii="Times New Roman" w:hAnsi="Times New Roman"/>
                <w:sz w:val="28"/>
                <w:szCs w:val="28"/>
              </w:rPr>
              <w:t>восстановлен</w:t>
            </w:r>
            <w:r w:rsidR="00EC6669">
              <w:rPr>
                <w:rFonts w:ascii="Times New Roman" w:hAnsi="Times New Roman"/>
                <w:sz w:val="28"/>
                <w:szCs w:val="28"/>
              </w:rPr>
              <w:t>ный</w:t>
            </w:r>
            <w:r w:rsidRPr="00687572">
              <w:rPr>
                <w:rFonts w:ascii="Times New Roman" w:hAnsi="Times New Roman"/>
                <w:sz w:val="28"/>
                <w:szCs w:val="28"/>
              </w:rPr>
              <w:t xml:space="preserve"> Касфоцин добавляется в 250 мл), конечная концентрация</w:t>
            </w:r>
          </w:p>
        </w:tc>
        <w:tc>
          <w:tcPr>
            <w:tcW w:w="2127" w:type="dxa"/>
            <w:tcBorders>
              <w:top w:val="single" w:sz="4" w:space="0" w:color="000000"/>
              <w:left w:val="single" w:sz="4" w:space="0" w:color="000000"/>
              <w:bottom w:val="single" w:sz="4" w:space="0" w:color="000000"/>
              <w:right w:val="single" w:sz="4" w:space="0" w:color="000000"/>
            </w:tcBorders>
            <w:vAlign w:val="center"/>
          </w:tcPr>
          <w:p w14:paraId="001EE84E" w14:textId="2A3C3882" w:rsidR="00EF594A" w:rsidRPr="00687572" w:rsidRDefault="00EF594A" w:rsidP="00EB3F16">
            <w:pPr>
              <w:tabs>
                <w:tab w:val="left" w:pos="5954"/>
              </w:tabs>
              <w:spacing w:after="0" w:line="20" w:lineRule="atLeast"/>
              <w:ind w:left="67" w:right="-4"/>
              <w:rPr>
                <w:rFonts w:ascii="Times New Roman" w:hAnsi="Times New Roman"/>
                <w:sz w:val="28"/>
                <w:szCs w:val="28"/>
              </w:rPr>
            </w:pPr>
            <w:r w:rsidRPr="00687572">
              <w:rPr>
                <w:rFonts w:ascii="Times New Roman" w:hAnsi="Times New Roman"/>
                <w:b/>
                <w:sz w:val="28"/>
                <w:szCs w:val="28"/>
              </w:rPr>
              <w:t xml:space="preserve">Инфузия уменьшенного объема </w:t>
            </w:r>
            <w:r w:rsidRPr="00687572">
              <w:rPr>
                <w:rFonts w:ascii="Times New Roman" w:hAnsi="Times New Roman"/>
                <w:sz w:val="28"/>
                <w:szCs w:val="28"/>
              </w:rPr>
              <w:t>(</w:t>
            </w:r>
            <w:r w:rsidR="00EC6669" w:rsidRPr="00687572">
              <w:rPr>
                <w:rFonts w:ascii="Times New Roman" w:hAnsi="Times New Roman"/>
                <w:sz w:val="28"/>
                <w:szCs w:val="28"/>
              </w:rPr>
              <w:t>восстановлен</w:t>
            </w:r>
            <w:r w:rsidR="00EC6669">
              <w:rPr>
                <w:rFonts w:ascii="Times New Roman" w:hAnsi="Times New Roman"/>
                <w:sz w:val="28"/>
                <w:szCs w:val="28"/>
              </w:rPr>
              <w:t>ный</w:t>
            </w:r>
            <w:r w:rsidRPr="00687572">
              <w:rPr>
                <w:rFonts w:ascii="Times New Roman" w:hAnsi="Times New Roman"/>
                <w:sz w:val="28"/>
                <w:szCs w:val="28"/>
              </w:rPr>
              <w:t xml:space="preserve"> Касфоцин добавляется в 100 мл), конечная </w:t>
            </w:r>
            <w:r w:rsidRPr="00687572">
              <w:rPr>
                <w:rFonts w:ascii="Times New Roman" w:hAnsi="Times New Roman"/>
                <w:sz w:val="28"/>
                <w:szCs w:val="28"/>
              </w:rPr>
              <w:lastRenderedPageBreak/>
              <w:t>концентрация</w:t>
            </w:r>
          </w:p>
        </w:tc>
      </w:tr>
      <w:tr w:rsidR="00EF594A" w:rsidRPr="00687572" w14:paraId="190D53AB" w14:textId="77777777" w:rsidTr="00EB3F16">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15A780D2"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lastRenderedPageBreak/>
              <w:t>50 мг</w:t>
            </w:r>
          </w:p>
        </w:tc>
        <w:tc>
          <w:tcPr>
            <w:tcW w:w="2272" w:type="dxa"/>
            <w:tcBorders>
              <w:top w:val="single" w:sz="4" w:space="0" w:color="000000"/>
              <w:left w:val="single" w:sz="4" w:space="0" w:color="000000"/>
              <w:bottom w:val="single" w:sz="4" w:space="0" w:color="000000"/>
              <w:right w:val="single" w:sz="4" w:space="0" w:color="000000"/>
            </w:tcBorders>
            <w:vAlign w:val="center"/>
          </w:tcPr>
          <w:p w14:paraId="5605C264"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35FF68D2"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0,20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226508BF"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w:t>
            </w:r>
          </w:p>
        </w:tc>
      </w:tr>
      <w:tr w:rsidR="00EF594A" w:rsidRPr="00687572" w14:paraId="014441A3" w14:textId="77777777" w:rsidTr="00EB3F16">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2F4F7727"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50 мг для уменьшенного объема</w:t>
            </w:r>
          </w:p>
        </w:tc>
        <w:tc>
          <w:tcPr>
            <w:tcW w:w="2272" w:type="dxa"/>
            <w:tcBorders>
              <w:top w:val="single" w:sz="4" w:space="0" w:color="000000"/>
              <w:left w:val="single" w:sz="4" w:space="0" w:color="000000"/>
              <w:bottom w:val="single" w:sz="4" w:space="0" w:color="000000"/>
              <w:right w:val="single" w:sz="4" w:space="0" w:color="000000"/>
            </w:tcBorders>
            <w:vAlign w:val="center"/>
          </w:tcPr>
          <w:p w14:paraId="169AD735"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4D3EBD08"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7AE6BF42"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0,47 мг/мл</w:t>
            </w:r>
          </w:p>
        </w:tc>
      </w:tr>
      <w:tr w:rsidR="00EF594A" w:rsidRPr="00687572" w14:paraId="75671109" w14:textId="77777777" w:rsidTr="00EB3F16">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3296CB07"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35 мг при печеночной недостаточности средней тяжести (из одного флакона 50 мг)</w:t>
            </w:r>
          </w:p>
        </w:tc>
        <w:tc>
          <w:tcPr>
            <w:tcW w:w="2272" w:type="dxa"/>
            <w:tcBorders>
              <w:top w:val="single" w:sz="4" w:space="0" w:color="000000"/>
              <w:left w:val="single" w:sz="4" w:space="0" w:color="000000"/>
              <w:bottom w:val="single" w:sz="4" w:space="0" w:color="000000"/>
              <w:right w:val="single" w:sz="4" w:space="0" w:color="000000"/>
            </w:tcBorders>
            <w:vAlign w:val="center"/>
          </w:tcPr>
          <w:p w14:paraId="5DF7A9F4"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013FD5E4"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0,14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08FD3857"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w:t>
            </w:r>
          </w:p>
        </w:tc>
      </w:tr>
      <w:tr w:rsidR="00EF594A" w:rsidRPr="00687572" w14:paraId="60111F5A" w14:textId="77777777" w:rsidTr="00EB3F16">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0E056ACA"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35 мг при печеночной недостаточности средней тяжести (из одного флакона 50 мг) для уменьшенного объема</w:t>
            </w:r>
          </w:p>
        </w:tc>
        <w:tc>
          <w:tcPr>
            <w:tcW w:w="2272" w:type="dxa"/>
            <w:tcBorders>
              <w:top w:val="single" w:sz="4" w:space="0" w:color="000000"/>
              <w:left w:val="single" w:sz="4" w:space="0" w:color="000000"/>
              <w:bottom w:val="single" w:sz="4" w:space="0" w:color="000000"/>
              <w:right w:val="single" w:sz="4" w:space="0" w:color="000000"/>
            </w:tcBorders>
            <w:vAlign w:val="center"/>
          </w:tcPr>
          <w:p w14:paraId="00DE8175"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73191036"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38FD5FD" w14:textId="77777777" w:rsidR="00EF594A" w:rsidRPr="00687572" w:rsidRDefault="00EF594A" w:rsidP="00EB3F16">
            <w:pPr>
              <w:spacing w:after="0" w:line="20" w:lineRule="atLeast"/>
              <w:ind w:left="67" w:right="-4"/>
              <w:rPr>
                <w:rFonts w:ascii="Times New Roman" w:hAnsi="Times New Roman"/>
                <w:sz w:val="28"/>
                <w:szCs w:val="28"/>
              </w:rPr>
            </w:pPr>
            <w:r w:rsidRPr="00687572">
              <w:rPr>
                <w:rFonts w:ascii="Times New Roman" w:hAnsi="Times New Roman"/>
                <w:sz w:val="28"/>
                <w:szCs w:val="28"/>
              </w:rPr>
              <w:t>0,34 мг/мл</w:t>
            </w:r>
          </w:p>
        </w:tc>
      </w:tr>
    </w:tbl>
    <w:p w14:paraId="0BECB4BD" w14:textId="77777777" w:rsidR="00EF594A" w:rsidRPr="00687572" w:rsidRDefault="00EF594A" w:rsidP="00EF594A">
      <w:pPr>
        <w:spacing w:after="0" w:line="20" w:lineRule="atLeast"/>
        <w:ind w:left="142" w:right="-20"/>
        <w:jc w:val="both"/>
        <w:rPr>
          <w:rFonts w:ascii="Times New Roman" w:hAnsi="Times New Roman"/>
          <w:sz w:val="28"/>
          <w:szCs w:val="28"/>
        </w:rPr>
      </w:pPr>
      <w:r w:rsidRPr="00687572">
        <w:rPr>
          <w:rFonts w:ascii="Times New Roman" w:hAnsi="Times New Roman"/>
          <w:sz w:val="28"/>
          <w:szCs w:val="28"/>
        </w:rPr>
        <w:t>* 10,5 мл необходимо использовать для восстановления всех флаконов.</w:t>
      </w:r>
    </w:p>
    <w:p w14:paraId="12DE5F80" w14:textId="77777777" w:rsidR="00EF594A" w:rsidRPr="00687572" w:rsidRDefault="00EF594A" w:rsidP="00EF594A">
      <w:pPr>
        <w:spacing w:after="0" w:line="20" w:lineRule="atLeast"/>
        <w:jc w:val="center"/>
        <w:rPr>
          <w:rFonts w:ascii="Times New Roman" w:hAnsi="Times New Roman"/>
          <w:b/>
          <w:i/>
          <w:sz w:val="28"/>
          <w:szCs w:val="28"/>
          <w:u w:val="single"/>
        </w:rPr>
      </w:pPr>
      <w:r w:rsidRPr="00687572">
        <w:rPr>
          <w:rFonts w:ascii="Times New Roman" w:hAnsi="Times New Roman"/>
          <w:b/>
          <w:i/>
          <w:sz w:val="28"/>
          <w:szCs w:val="28"/>
          <w:u w:val="single"/>
        </w:rPr>
        <w:t>Указания по применению у детей</w:t>
      </w:r>
    </w:p>
    <w:p w14:paraId="780264BF" w14:textId="77777777" w:rsidR="00EF594A" w:rsidRPr="00687572" w:rsidRDefault="00EF594A" w:rsidP="00EF594A">
      <w:pPr>
        <w:spacing w:after="0" w:line="20" w:lineRule="atLeast"/>
        <w:jc w:val="both"/>
        <w:rPr>
          <w:rFonts w:ascii="Times New Roman" w:hAnsi="Times New Roman"/>
          <w:i/>
          <w:sz w:val="28"/>
          <w:szCs w:val="28"/>
        </w:rPr>
      </w:pPr>
      <w:r w:rsidRPr="00687572">
        <w:rPr>
          <w:rFonts w:ascii="Times New Roman" w:hAnsi="Times New Roman"/>
          <w:i/>
          <w:sz w:val="28"/>
          <w:szCs w:val="28"/>
        </w:rPr>
        <w:t>Расчет площади поверхности тела для определения дозы у детей</w:t>
      </w:r>
    </w:p>
    <w:p w14:paraId="0EDFFCE2" w14:textId="77777777" w:rsidR="00EF594A" w:rsidRPr="00687572" w:rsidRDefault="00EF594A" w:rsidP="00EF594A">
      <w:pPr>
        <w:spacing w:after="0" w:line="20" w:lineRule="atLeast"/>
        <w:jc w:val="both"/>
        <w:rPr>
          <w:rFonts w:ascii="Times New Roman" w:hAnsi="Times New Roman"/>
          <w:sz w:val="28"/>
          <w:szCs w:val="28"/>
        </w:rPr>
      </w:pPr>
      <w:r w:rsidRPr="00687572">
        <w:rPr>
          <w:rFonts w:ascii="Times New Roman" w:hAnsi="Times New Roman"/>
          <w:sz w:val="28"/>
          <w:szCs w:val="28"/>
        </w:rPr>
        <w:t>Перед приготовлением инфузионного раствора необходимо рассчитать площадь поверхности тела (ППТ) ребенка по следующей формуле (формула Мостеллера):</w:t>
      </w:r>
    </w:p>
    <w:p w14:paraId="41F52991" w14:textId="77777777" w:rsidR="00EF594A" w:rsidRPr="00687572" w:rsidRDefault="00EF594A" w:rsidP="00EF594A">
      <w:pPr>
        <w:spacing w:after="0" w:line="20" w:lineRule="atLeast"/>
        <w:jc w:val="center"/>
        <w:rPr>
          <w:rFonts w:ascii="Times New Roman" w:hAnsi="Times New Roman"/>
          <w:b/>
          <w:sz w:val="28"/>
          <w:szCs w:val="28"/>
        </w:rPr>
      </w:pPr>
      <w:r w:rsidRPr="00687572">
        <w:rPr>
          <w:rFonts w:ascii="Times New Roman" w:hAnsi="Times New Roman"/>
          <w:sz w:val="28"/>
          <w:szCs w:val="28"/>
        </w:rPr>
        <w:t xml:space="preserve">ППТ </w:t>
      </w:r>
      <w:r w:rsidRPr="00687572">
        <w:rPr>
          <w:rFonts w:ascii="Times New Roman" w:hAnsi="Times New Roman"/>
          <w:b/>
          <w:sz w:val="28"/>
          <w:szCs w:val="28"/>
        </w:rPr>
        <w:t>(</w:t>
      </w:r>
      <w:r w:rsidRPr="00687572">
        <w:rPr>
          <w:rFonts w:ascii="Times New Roman" w:hAnsi="Times New Roman"/>
          <w:sz w:val="28"/>
          <w:szCs w:val="28"/>
        </w:rPr>
        <w:t>м</w:t>
      </w:r>
      <w:r w:rsidRPr="00687572">
        <w:rPr>
          <w:rFonts w:ascii="Times New Roman" w:hAnsi="Times New Roman"/>
          <w:sz w:val="28"/>
          <w:szCs w:val="28"/>
          <w:vertAlign w:val="superscript"/>
        </w:rPr>
        <w:t>2</w:t>
      </w:r>
      <w:r w:rsidRPr="00687572">
        <w:rPr>
          <w:rFonts w:ascii="Times New Roman" w:hAnsi="Times New Roman"/>
          <w:sz w:val="28"/>
          <w:szCs w:val="28"/>
        </w:rPr>
        <w:t xml:space="preserve">) = </w:t>
      </w:r>
      <w:r w:rsidR="000E7CAB">
        <w:rPr>
          <w:rFonts w:ascii="Times New Roman" w:hAnsi="Times New Roman"/>
          <w:noProof/>
          <w:position w:val="-26"/>
          <w:sz w:val="28"/>
          <w:szCs w:val="28"/>
          <w:lang w:eastAsia="ru-RU"/>
        </w:rPr>
        <w:drawing>
          <wp:inline distT="0" distB="0" distL="0" distR="0" wp14:anchorId="59FDB6BA" wp14:editId="7557EC16">
            <wp:extent cx="1495425" cy="4381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38150"/>
                    </a:xfrm>
                    <a:prstGeom prst="rect">
                      <a:avLst/>
                    </a:prstGeom>
                    <a:noFill/>
                    <a:ln>
                      <a:noFill/>
                    </a:ln>
                  </pic:spPr>
                </pic:pic>
              </a:graphicData>
            </a:graphic>
          </wp:inline>
        </w:drawing>
      </w:r>
    </w:p>
    <w:p w14:paraId="754873BE" w14:textId="77777777" w:rsidR="00EF594A" w:rsidRPr="00687572" w:rsidRDefault="00EF594A" w:rsidP="00EF594A">
      <w:pPr>
        <w:spacing w:after="0" w:line="20" w:lineRule="atLeast"/>
        <w:ind w:right="-20"/>
        <w:jc w:val="both"/>
        <w:rPr>
          <w:rFonts w:ascii="Times New Roman" w:hAnsi="Times New Roman"/>
          <w:b/>
          <w:i/>
          <w:sz w:val="28"/>
          <w:szCs w:val="28"/>
          <w:u w:val="single"/>
        </w:rPr>
      </w:pPr>
    </w:p>
    <w:p w14:paraId="778D3894" w14:textId="77777777" w:rsidR="00EF594A" w:rsidRPr="00687572" w:rsidRDefault="00EF594A" w:rsidP="00EF594A">
      <w:pPr>
        <w:spacing w:after="0" w:line="20" w:lineRule="atLeast"/>
        <w:ind w:right="-20"/>
        <w:jc w:val="both"/>
        <w:rPr>
          <w:rFonts w:ascii="Times New Roman" w:hAnsi="Times New Roman"/>
          <w:b/>
          <w:i/>
          <w:sz w:val="28"/>
          <w:szCs w:val="28"/>
          <w:u w:val="single"/>
        </w:rPr>
      </w:pPr>
      <w:r w:rsidRPr="00687572">
        <w:rPr>
          <w:rFonts w:ascii="Times New Roman" w:hAnsi="Times New Roman"/>
          <w:b/>
          <w:i/>
          <w:sz w:val="28"/>
          <w:szCs w:val="28"/>
          <w:u w:val="single"/>
        </w:rPr>
        <w:t>Приготовление инфузионного раствора 70 мг/м</w:t>
      </w:r>
      <w:r w:rsidRPr="00687572">
        <w:rPr>
          <w:rFonts w:ascii="Times New Roman" w:hAnsi="Times New Roman"/>
          <w:b/>
          <w:i/>
          <w:sz w:val="28"/>
          <w:szCs w:val="28"/>
          <w:u w:val="single"/>
          <w:vertAlign w:val="superscript"/>
        </w:rPr>
        <w:t>2</w:t>
      </w:r>
      <w:r w:rsidRPr="00687572">
        <w:rPr>
          <w:rFonts w:ascii="Times New Roman" w:hAnsi="Times New Roman"/>
          <w:b/>
          <w:i/>
          <w:sz w:val="28"/>
          <w:szCs w:val="28"/>
          <w:u w:val="single"/>
        </w:rPr>
        <w:t xml:space="preserve"> для детей в возрасте &gt;3 месяцев (с использованием флакона 50 мг)</w:t>
      </w:r>
    </w:p>
    <w:p w14:paraId="7FC09001" w14:textId="77777777" w:rsidR="00EF594A" w:rsidRPr="00687572" w:rsidRDefault="00EF594A" w:rsidP="00D15675">
      <w:pPr>
        <w:pStyle w:val="ab"/>
        <w:widowControl w:val="0"/>
        <w:numPr>
          <w:ilvl w:val="0"/>
          <w:numId w:val="26"/>
        </w:numPr>
        <w:tabs>
          <w:tab w:val="left" w:pos="567"/>
        </w:tabs>
        <w:spacing w:after="0" w:line="20" w:lineRule="atLeast"/>
        <w:ind w:left="0" w:right="-20" w:hanging="284"/>
        <w:jc w:val="both"/>
        <w:rPr>
          <w:rFonts w:ascii="Times New Roman" w:hAnsi="Times New Roman"/>
          <w:sz w:val="28"/>
          <w:szCs w:val="28"/>
        </w:rPr>
      </w:pPr>
      <w:r w:rsidRPr="00687572">
        <w:rPr>
          <w:rFonts w:ascii="Times New Roman" w:hAnsi="Times New Roman"/>
          <w:sz w:val="28"/>
          <w:szCs w:val="28"/>
        </w:rPr>
        <w:t>Определите фактическую нагрузочную дозу для ребенка с помощью ППТ пациента (рассчитанную выше) по следующей формуле:</w:t>
      </w:r>
    </w:p>
    <w:p w14:paraId="19617B83" w14:textId="77777777" w:rsidR="00EF594A" w:rsidRPr="00687572" w:rsidRDefault="00EF594A" w:rsidP="00D15675">
      <w:pPr>
        <w:tabs>
          <w:tab w:val="left" w:pos="567"/>
        </w:tabs>
        <w:spacing w:after="0" w:line="20" w:lineRule="atLeast"/>
        <w:ind w:right="-20"/>
        <w:jc w:val="both"/>
        <w:rPr>
          <w:rFonts w:ascii="Times New Roman" w:hAnsi="Times New Roman"/>
          <w:sz w:val="28"/>
          <w:szCs w:val="28"/>
        </w:rPr>
      </w:pPr>
      <w:r w:rsidRPr="00687572">
        <w:rPr>
          <w:rFonts w:ascii="Times New Roman" w:hAnsi="Times New Roman"/>
          <w:sz w:val="28"/>
          <w:szCs w:val="28"/>
        </w:rPr>
        <w:t>ППТ (м</w:t>
      </w:r>
      <w:r w:rsidRPr="00687572">
        <w:rPr>
          <w:rFonts w:ascii="Times New Roman" w:hAnsi="Times New Roman"/>
          <w:sz w:val="28"/>
          <w:szCs w:val="28"/>
          <w:vertAlign w:val="superscript"/>
        </w:rPr>
        <w:t>2</w:t>
      </w:r>
      <w:r w:rsidRPr="00687572">
        <w:rPr>
          <w:rFonts w:ascii="Times New Roman" w:hAnsi="Times New Roman"/>
          <w:sz w:val="28"/>
          <w:szCs w:val="28"/>
        </w:rPr>
        <w:t>) х 70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 нагрузочная доза.</w:t>
      </w:r>
    </w:p>
    <w:p w14:paraId="4BCC21E3" w14:textId="77777777" w:rsidR="00EF594A" w:rsidRPr="00687572" w:rsidRDefault="00EF594A" w:rsidP="00D15675">
      <w:pPr>
        <w:tabs>
          <w:tab w:val="left" w:pos="567"/>
        </w:tabs>
        <w:spacing w:after="0" w:line="20" w:lineRule="atLeast"/>
        <w:ind w:right="-20"/>
        <w:jc w:val="both"/>
        <w:rPr>
          <w:rFonts w:ascii="Times New Roman" w:hAnsi="Times New Roman"/>
          <w:sz w:val="28"/>
          <w:szCs w:val="28"/>
        </w:rPr>
      </w:pPr>
      <w:r w:rsidRPr="00687572">
        <w:rPr>
          <w:rFonts w:ascii="Times New Roman" w:hAnsi="Times New Roman"/>
          <w:sz w:val="28"/>
          <w:szCs w:val="28"/>
        </w:rPr>
        <w:t>Максимальная нагрузочная доза в 1</w:t>
      </w:r>
      <w:r w:rsidRPr="00687572">
        <w:rPr>
          <w:rFonts w:ascii="Times New Roman" w:hAnsi="Times New Roman"/>
          <w:sz w:val="28"/>
          <w:szCs w:val="28"/>
          <w:vertAlign w:val="superscript"/>
        </w:rPr>
        <w:t>ый</w:t>
      </w:r>
      <w:r w:rsidRPr="00687572">
        <w:rPr>
          <w:rFonts w:ascii="Times New Roman" w:hAnsi="Times New Roman"/>
          <w:sz w:val="28"/>
          <w:szCs w:val="28"/>
        </w:rPr>
        <w:t xml:space="preserve"> день не должна превышать 70 мг, независимо от рассчитанной дозы для пациента.</w:t>
      </w:r>
    </w:p>
    <w:p w14:paraId="713CDE60" w14:textId="77777777" w:rsidR="00EF594A" w:rsidRPr="00687572" w:rsidRDefault="00EF594A" w:rsidP="00D15675">
      <w:pPr>
        <w:pStyle w:val="ab"/>
        <w:widowControl w:val="0"/>
        <w:numPr>
          <w:ilvl w:val="0"/>
          <w:numId w:val="26"/>
        </w:numPr>
        <w:tabs>
          <w:tab w:val="left" w:pos="567"/>
        </w:tabs>
        <w:spacing w:after="0" w:line="20" w:lineRule="atLeast"/>
        <w:ind w:left="0" w:right="-20" w:hanging="284"/>
        <w:jc w:val="both"/>
        <w:rPr>
          <w:rFonts w:ascii="Times New Roman" w:hAnsi="Times New Roman"/>
          <w:sz w:val="28"/>
          <w:szCs w:val="28"/>
        </w:rPr>
      </w:pPr>
      <w:r w:rsidRPr="00687572">
        <w:rPr>
          <w:rFonts w:ascii="Times New Roman" w:hAnsi="Times New Roman"/>
          <w:sz w:val="28"/>
          <w:szCs w:val="28"/>
        </w:rPr>
        <w:t>Доведите охлажденный флакон Касфоцина до комнатной температуры.</w:t>
      </w:r>
    </w:p>
    <w:p w14:paraId="472BEBB5" w14:textId="77777777" w:rsidR="00EF594A" w:rsidRPr="00687572" w:rsidRDefault="00EF594A" w:rsidP="00D15675">
      <w:pPr>
        <w:pStyle w:val="ab"/>
        <w:widowControl w:val="0"/>
        <w:numPr>
          <w:ilvl w:val="0"/>
          <w:numId w:val="26"/>
        </w:numPr>
        <w:tabs>
          <w:tab w:val="left" w:pos="567"/>
        </w:tabs>
        <w:spacing w:after="0" w:line="20" w:lineRule="atLeast"/>
        <w:ind w:left="0" w:right="-20" w:hanging="284"/>
        <w:jc w:val="both"/>
        <w:rPr>
          <w:rFonts w:ascii="Times New Roman" w:hAnsi="Times New Roman"/>
          <w:sz w:val="28"/>
          <w:szCs w:val="28"/>
        </w:rPr>
      </w:pPr>
      <w:r w:rsidRPr="00687572">
        <w:rPr>
          <w:rFonts w:ascii="Times New Roman" w:hAnsi="Times New Roman"/>
          <w:sz w:val="28"/>
          <w:szCs w:val="28"/>
        </w:rPr>
        <w:t xml:space="preserve">Соблюдая стерильность, добавьте 10,5 мл воды для инъекций. </w:t>
      </w:r>
    </w:p>
    <w:p w14:paraId="7AFE48B4" w14:textId="77777777" w:rsidR="00EF594A" w:rsidRPr="00687572" w:rsidRDefault="00EF594A" w:rsidP="00D15675">
      <w:pPr>
        <w:pStyle w:val="ab"/>
        <w:tabs>
          <w:tab w:val="left" w:pos="567"/>
        </w:tabs>
        <w:spacing w:after="0" w:line="20" w:lineRule="atLeast"/>
        <w:ind w:left="0" w:right="-20"/>
        <w:jc w:val="both"/>
        <w:rPr>
          <w:rFonts w:ascii="Times New Roman" w:hAnsi="Times New Roman"/>
          <w:sz w:val="28"/>
          <w:szCs w:val="28"/>
        </w:rPr>
      </w:pPr>
      <w:r w:rsidRPr="00687572">
        <w:rPr>
          <w:rFonts w:ascii="Times New Roman" w:hAnsi="Times New Roman"/>
          <w:sz w:val="28"/>
          <w:szCs w:val="28"/>
        </w:rPr>
        <w:t>a/ Данный восстановленный раствор можно хранить до 24 часов при температуре 25°C или ниже. b/ Это поможет получить конечную концентрацию каспофунгина во флаконе, равную 5,2 мг/мл (при использовании флакона 50 мг).</w:t>
      </w:r>
    </w:p>
    <w:p w14:paraId="08382C50" w14:textId="77777777" w:rsidR="00EF594A" w:rsidRPr="00687572" w:rsidRDefault="00EF594A" w:rsidP="00D15675">
      <w:pPr>
        <w:pStyle w:val="ab"/>
        <w:widowControl w:val="0"/>
        <w:numPr>
          <w:ilvl w:val="0"/>
          <w:numId w:val="26"/>
        </w:numPr>
        <w:tabs>
          <w:tab w:val="left" w:pos="567"/>
        </w:tabs>
        <w:spacing w:after="0" w:line="20" w:lineRule="atLeast"/>
        <w:ind w:left="0" w:right="-20" w:hanging="284"/>
        <w:jc w:val="both"/>
        <w:rPr>
          <w:rFonts w:ascii="Times New Roman" w:hAnsi="Times New Roman"/>
          <w:sz w:val="28"/>
          <w:szCs w:val="28"/>
        </w:rPr>
      </w:pPr>
      <w:r w:rsidRPr="00687572">
        <w:rPr>
          <w:rFonts w:ascii="Times New Roman" w:hAnsi="Times New Roman"/>
          <w:sz w:val="28"/>
          <w:szCs w:val="28"/>
        </w:rPr>
        <w:t xml:space="preserve">Извлеките из флакона объем препарата равный рассчитанной нагрузочной дозе (Шаг 1). c/ Соблюдая стерильность, перенесите данный объем (мл) восстановленного Касфоцина в мешок (или флакон) для в/в инфузий, содержащий 250 мл 0,9 %, 0,45 % или 0,225 % физиологического раствора для инъекций или раствора Рингера с лактатом. Или объем (мл) восстановленного Касфоцина можно добавить к уменьшенному объему 0,9 %, 0,45 % или 0,225 % физиологического раствора для инъекций или раствора Рингера с лактатом, не превышая конечной концентрации 0,5 </w:t>
      </w:r>
      <w:r w:rsidRPr="00687572">
        <w:rPr>
          <w:rFonts w:ascii="Times New Roman" w:hAnsi="Times New Roman"/>
          <w:sz w:val="28"/>
          <w:szCs w:val="28"/>
        </w:rPr>
        <w:lastRenderedPageBreak/>
        <w:t>мг/мл. Данный раствор для инфузий необходимо использовать в течение 24 часов при хранении при температуре 25°C или ниже, или в течение 48 часов при хранении охлажденным до температуры от 2 до 8°C.</w:t>
      </w:r>
    </w:p>
    <w:p w14:paraId="6E08A38B" w14:textId="77777777" w:rsidR="00EF594A" w:rsidRPr="00687572" w:rsidRDefault="00EF594A" w:rsidP="00EF594A">
      <w:pPr>
        <w:spacing w:after="0" w:line="20" w:lineRule="atLeast"/>
        <w:ind w:left="142" w:right="-20"/>
        <w:rPr>
          <w:rFonts w:ascii="Times New Roman" w:hAnsi="Times New Roman"/>
          <w:b/>
          <w:i/>
          <w:sz w:val="28"/>
          <w:szCs w:val="28"/>
          <w:u w:val="single"/>
        </w:rPr>
      </w:pPr>
    </w:p>
    <w:p w14:paraId="5C770B53" w14:textId="77777777" w:rsidR="00EF594A" w:rsidRPr="00687572" w:rsidRDefault="00EF594A" w:rsidP="00D15675">
      <w:pPr>
        <w:spacing w:after="0" w:line="20" w:lineRule="atLeast"/>
        <w:ind w:right="-20"/>
        <w:rPr>
          <w:rFonts w:ascii="Times New Roman" w:hAnsi="Times New Roman"/>
          <w:b/>
          <w:i/>
          <w:sz w:val="28"/>
          <w:szCs w:val="28"/>
          <w:u w:val="single"/>
        </w:rPr>
      </w:pPr>
      <w:r w:rsidRPr="00687572">
        <w:rPr>
          <w:rFonts w:ascii="Times New Roman" w:hAnsi="Times New Roman"/>
          <w:b/>
          <w:i/>
          <w:sz w:val="28"/>
          <w:szCs w:val="28"/>
          <w:u w:val="single"/>
        </w:rPr>
        <w:t>Приготовление инфузионного раствора 50 мг/м</w:t>
      </w:r>
      <w:r w:rsidRPr="00687572">
        <w:rPr>
          <w:rFonts w:ascii="Times New Roman" w:hAnsi="Times New Roman"/>
          <w:b/>
          <w:i/>
          <w:sz w:val="28"/>
          <w:szCs w:val="28"/>
          <w:u w:val="single"/>
          <w:vertAlign w:val="superscript"/>
        </w:rPr>
        <w:t>2</w:t>
      </w:r>
      <w:r w:rsidRPr="00687572">
        <w:rPr>
          <w:rFonts w:ascii="Times New Roman" w:hAnsi="Times New Roman"/>
          <w:b/>
          <w:i/>
          <w:sz w:val="28"/>
          <w:szCs w:val="28"/>
          <w:u w:val="single"/>
        </w:rPr>
        <w:t xml:space="preserve"> для детей в возрасте &gt;3 месяцев (с использованием флакона 50 мг)</w:t>
      </w:r>
    </w:p>
    <w:p w14:paraId="5DFA447F" w14:textId="77777777" w:rsidR="00EF594A" w:rsidRPr="00687572" w:rsidRDefault="00EF594A" w:rsidP="00906C94">
      <w:pPr>
        <w:pStyle w:val="ab"/>
        <w:widowControl w:val="0"/>
        <w:numPr>
          <w:ilvl w:val="0"/>
          <w:numId w:val="27"/>
        </w:numPr>
        <w:tabs>
          <w:tab w:val="left" w:pos="851"/>
        </w:tabs>
        <w:spacing w:after="0" w:line="20" w:lineRule="atLeast"/>
        <w:ind w:left="0" w:right="-20" w:hanging="361"/>
        <w:jc w:val="both"/>
        <w:rPr>
          <w:rFonts w:ascii="Times New Roman" w:hAnsi="Times New Roman"/>
          <w:sz w:val="28"/>
          <w:szCs w:val="28"/>
        </w:rPr>
      </w:pPr>
      <w:r w:rsidRPr="00687572">
        <w:rPr>
          <w:rFonts w:ascii="Times New Roman" w:hAnsi="Times New Roman"/>
          <w:sz w:val="28"/>
          <w:szCs w:val="28"/>
        </w:rPr>
        <w:t>Определите фактическую суточную поддерживающую дозу для ребенка с помощью ППТ пациента (рассчитанную выше) по следующей формуле:</w:t>
      </w:r>
    </w:p>
    <w:p w14:paraId="652291B4" w14:textId="17584333" w:rsidR="00EF594A" w:rsidRPr="00687572" w:rsidRDefault="00EF594A" w:rsidP="00906C94">
      <w:pPr>
        <w:tabs>
          <w:tab w:val="left" w:pos="820"/>
        </w:tabs>
        <w:spacing w:after="0" w:line="20" w:lineRule="atLeast"/>
        <w:ind w:right="-20" w:hanging="284"/>
        <w:jc w:val="both"/>
        <w:rPr>
          <w:rFonts w:ascii="Times New Roman" w:hAnsi="Times New Roman"/>
          <w:sz w:val="28"/>
          <w:szCs w:val="28"/>
        </w:rPr>
      </w:pPr>
      <w:r w:rsidRPr="00687572">
        <w:rPr>
          <w:rFonts w:ascii="Times New Roman" w:hAnsi="Times New Roman"/>
          <w:sz w:val="28"/>
          <w:szCs w:val="28"/>
        </w:rPr>
        <w:t xml:space="preserve">    ППТ (м</w:t>
      </w:r>
      <w:r w:rsidRPr="00687572">
        <w:rPr>
          <w:rFonts w:ascii="Times New Roman" w:hAnsi="Times New Roman"/>
          <w:sz w:val="28"/>
          <w:szCs w:val="28"/>
          <w:vertAlign w:val="superscript"/>
        </w:rPr>
        <w:t>2</w:t>
      </w:r>
      <w:r w:rsidR="00C76701" w:rsidRPr="00687572">
        <w:rPr>
          <w:rFonts w:ascii="Times New Roman" w:hAnsi="Times New Roman"/>
          <w:sz w:val="28"/>
          <w:szCs w:val="28"/>
        </w:rPr>
        <w:t>) х</w:t>
      </w:r>
      <w:r w:rsidRPr="00687572">
        <w:rPr>
          <w:rFonts w:ascii="Times New Roman" w:hAnsi="Times New Roman"/>
          <w:sz w:val="28"/>
          <w:szCs w:val="28"/>
        </w:rPr>
        <w:t xml:space="preserve"> 50 мг/м</w:t>
      </w:r>
      <w:r w:rsidRPr="00687572">
        <w:rPr>
          <w:rFonts w:ascii="Times New Roman" w:hAnsi="Times New Roman"/>
          <w:sz w:val="28"/>
          <w:szCs w:val="28"/>
          <w:vertAlign w:val="superscript"/>
        </w:rPr>
        <w:t>2</w:t>
      </w:r>
      <w:r w:rsidRPr="00687572">
        <w:rPr>
          <w:rFonts w:ascii="Times New Roman" w:hAnsi="Times New Roman"/>
          <w:sz w:val="28"/>
          <w:szCs w:val="28"/>
        </w:rPr>
        <w:t xml:space="preserve"> = суточная поддерживающая доза </w:t>
      </w:r>
    </w:p>
    <w:p w14:paraId="7A3C90DC" w14:textId="77777777" w:rsidR="00EF594A" w:rsidRPr="00687572" w:rsidRDefault="00EF594A" w:rsidP="00906C94">
      <w:pPr>
        <w:tabs>
          <w:tab w:val="left" w:pos="820"/>
        </w:tabs>
        <w:spacing w:after="0" w:line="20" w:lineRule="atLeast"/>
        <w:ind w:right="-20" w:hanging="709"/>
        <w:jc w:val="both"/>
        <w:rPr>
          <w:rFonts w:ascii="Times New Roman" w:hAnsi="Times New Roman"/>
          <w:sz w:val="28"/>
          <w:szCs w:val="28"/>
        </w:rPr>
      </w:pPr>
      <w:r w:rsidRPr="00687572">
        <w:rPr>
          <w:rFonts w:ascii="Times New Roman" w:hAnsi="Times New Roman"/>
          <w:sz w:val="28"/>
          <w:szCs w:val="28"/>
        </w:rPr>
        <w:t xml:space="preserve">          Суточная поддерживающая доза не должна превышать 70 мг, независимо от рассчитанной дозы для пациента.</w:t>
      </w:r>
    </w:p>
    <w:p w14:paraId="008E4C66" w14:textId="77777777" w:rsidR="00EF594A" w:rsidRPr="00687572" w:rsidRDefault="00EF594A" w:rsidP="00906C94">
      <w:pPr>
        <w:pStyle w:val="ab"/>
        <w:widowControl w:val="0"/>
        <w:numPr>
          <w:ilvl w:val="0"/>
          <w:numId w:val="27"/>
        </w:numPr>
        <w:tabs>
          <w:tab w:val="left" w:pos="820"/>
        </w:tabs>
        <w:spacing w:after="0" w:line="20" w:lineRule="atLeast"/>
        <w:ind w:left="0" w:right="-20"/>
        <w:jc w:val="both"/>
        <w:rPr>
          <w:rFonts w:ascii="Times New Roman" w:hAnsi="Times New Roman"/>
          <w:sz w:val="28"/>
          <w:szCs w:val="28"/>
        </w:rPr>
      </w:pPr>
      <w:r w:rsidRPr="00687572">
        <w:rPr>
          <w:rFonts w:ascii="Times New Roman" w:hAnsi="Times New Roman"/>
          <w:sz w:val="28"/>
          <w:szCs w:val="28"/>
        </w:rPr>
        <w:t>Доведите охлажденный флакон Касфоцина до комнатной температуры.</w:t>
      </w:r>
    </w:p>
    <w:p w14:paraId="6E159DEC" w14:textId="77777777" w:rsidR="00EF594A" w:rsidRPr="00687572" w:rsidRDefault="00EF594A" w:rsidP="00906C94">
      <w:pPr>
        <w:pStyle w:val="ab"/>
        <w:widowControl w:val="0"/>
        <w:numPr>
          <w:ilvl w:val="0"/>
          <w:numId w:val="27"/>
        </w:numPr>
        <w:tabs>
          <w:tab w:val="left" w:pos="820"/>
        </w:tabs>
        <w:spacing w:after="0" w:line="20" w:lineRule="atLeast"/>
        <w:ind w:left="0" w:right="-20"/>
        <w:jc w:val="both"/>
        <w:rPr>
          <w:rFonts w:ascii="Times New Roman" w:hAnsi="Times New Roman"/>
          <w:sz w:val="28"/>
          <w:szCs w:val="28"/>
        </w:rPr>
      </w:pPr>
      <w:r w:rsidRPr="00687572">
        <w:rPr>
          <w:rFonts w:ascii="Times New Roman" w:hAnsi="Times New Roman"/>
          <w:sz w:val="28"/>
          <w:szCs w:val="28"/>
        </w:rPr>
        <w:t xml:space="preserve">Соблюдая стерильность, добавьте 10,5 мл воды для инъекций.  </w:t>
      </w:r>
    </w:p>
    <w:p w14:paraId="4E5861C4" w14:textId="77777777" w:rsidR="00EF594A" w:rsidRPr="00687572" w:rsidRDefault="00EF594A" w:rsidP="00906C94">
      <w:pPr>
        <w:pStyle w:val="ab"/>
        <w:tabs>
          <w:tab w:val="left" w:pos="820"/>
        </w:tabs>
        <w:spacing w:after="0" w:line="20" w:lineRule="atLeast"/>
        <w:ind w:left="0" w:right="-20"/>
        <w:jc w:val="both"/>
        <w:rPr>
          <w:rFonts w:ascii="Times New Roman" w:hAnsi="Times New Roman"/>
          <w:sz w:val="28"/>
          <w:szCs w:val="28"/>
        </w:rPr>
      </w:pPr>
      <w:r w:rsidRPr="00687572">
        <w:rPr>
          <w:rFonts w:ascii="Times New Roman" w:hAnsi="Times New Roman"/>
          <w:sz w:val="28"/>
          <w:szCs w:val="28"/>
        </w:rPr>
        <w:t xml:space="preserve">a/ Данный восстановленный раствор можно хранить до 24 часов при температуре 25°C или ниже. b/ Это поможет получить конечную концентрацию каспофунгина во флаконе, равную 5,2 мг/мл. </w:t>
      </w:r>
    </w:p>
    <w:p w14:paraId="2FAB8B53" w14:textId="77777777" w:rsidR="00EF594A" w:rsidRPr="00687572" w:rsidRDefault="00EF594A" w:rsidP="00906C94">
      <w:pPr>
        <w:pStyle w:val="ab"/>
        <w:widowControl w:val="0"/>
        <w:numPr>
          <w:ilvl w:val="0"/>
          <w:numId w:val="27"/>
        </w:numPr>
        <w:tabs>
          <w:tab w:val="left" w:pos="820"/>
        </w:tabs>
        <w:spacing w:after="0" w:line="20" w:lineRule="atLeast"/>
        <w:ind w:left="0" w:right="-20"/>
        <w:jc w:val="both"/>
        <w:rPr>
          <w:rFonts w:ascii="Times New Roman" w:hAnsi="Times New Roman"/>
          <w:sz w:val="28"/>
          <w:szCs w:val="28"/>
        </w:rPr>
      </w:pPr>
      <w:r w:rsidRPr="00687572">
        <w:rPr>
          <w:rFonts w:ascii="Times New Roman" w:hAnsi="Times New Roman"/>
          <w:sz w:val="28"/>
          <w:szCs w:val="28"/>
        </w:rPr>
        <w:t>Извлеките из флакона объем препарата, равный рассчитанной суточной поддерживающей дозе (Шаг 1). с/ Соблюдая стерильность, перенесите данный объем (мл) восстановленного Касфоцина в мешок (или флакон) для в/в инфузий, содержащий 250 мл 0,9 %, 0,45 % или 0,225 % физиологического раствора для инъекций или раствора Рингера с лактатом. Или объем (мл) восстановленного Касфоцина можно добавить к уменьшенному объему 0,9 %, 0,45</w:t>
      </w:r>
      <w:r w:rsidRPr="00687572">
        <w:rPr>
          <w:rFonts w:ascii="Times New Roman" w:hAnsi="Times New Roman"/>
          <w:sz w:val="28"/>
          <w:szCs w:val="28"/>
          <w:lang w:val="en-US"/>
        </w:rPr>
        <w:t> </w:t>
      </w:r>
      <w:r w:rsidRPr="00687572">
        <w:rPr>
          <w:rFonts w:ascii="Times New Roman" w:hAnsi="Times New Roman"/>
          <w:sz w:val="28"/>
          <w:szCs w:val="28"/>
        </w:rPr>
        <w:t>% или 0,225</w:t>
      </w:r>
      <w:r w:rsidRPr="00687572">
        <w:rPr>
          <w:rFonts w:ascii="Times New Roman" w:hAnsi="Times New Roman"/>
          <w:sz w:val="28"/>
          <w:szCs w:val="28"/>
          <w:lang w:val="en-US"/>
        </w:rPr>
        <w:t> </w:t>
      </w:r>
      <w:r w:rsidRPr="00687572">
        <w:rPr>
          <w:rFonts w:ascii="Times New Roman" w:hAnsi="Times New Roman"/>
          <w:sz w:val="28"/>
          <w:szCs w:val="28"/>
        </w:rPr>
        <w:t>% физиологического раствора для инъекций или раствора Рингера с лактатом, не превышая конечной концентрации 0,5 мг/мл. Данный раствор для инфузий необходимо использовать в течение 24 часов при хранении при температуре 25°C или ниже, или в течение 48 часов при хранении охлажденным до температуры от 2 до 8°C.</w:t>
      </w:r>
    </w:p>
    <w:p w14:paraId="630CB0F0" w14:textId="77777777" w:rsidR="00EF594A" w:rsidRPr="00687572" w:rsidRDefault="00EF594A" w:rsidP="00EF594A">
      <w:pPr>
        <w:pStyle w:val="ab"/>
        <w:tabs>
          <w:tab w:val="left" w:pos="820"/>
        </w:tabs>
        <w:spacing w:after="0" w:line="20" w:lineRule="atLeast"/>
        <w:ind w:left="928" w:right="-20"/>
        <w:jc w:val="both"/>
        <w:rPr>
          <w:rFonts w:ascii="Times New Roman" w:hAnsi="Times New Roman"/>
          <w:sz w:val="28"/>
          <w:szCs w:val="28"/>
        </w:rPr>
      </w:pPr>
    </w:p>
    <w:p w14:paraId="78ECD375" w14:textId="77777777" w:rsidR="00EF594A" w:rsidRPr="00687572" w:rsidRDefault="00EF594A" w:rsidP="00EF594A">
      <w:pPr>
        <w:pBdr>
          <w:top w:val="single" w:sz="4" w:space="1" w:color="auto"/>
          <w:left w:val="single" w:sz="4" w:space="4" w:color="auto"/>
          <w:bottom w:val="single" w:sz="4" w:space="1" w:color="auto"/>
          <w:right w:val="single" w:sz="4" w:space="4" w:color="auto"/>
        </w:pBdr>
        <w:spacing w:after="0" w:line="20" w:lineRule="atLeast"/>
        <w:ind w:left="142" w:right="-20"/>
        <w:jc w:val="both"/>
        <w:rPr>
          <w:rFonts w:ascii="Times New Roman" w:hAnsi="Times New Roman"/>
          <w:b/>
          <w:sz w:val="28"/>
          <w:szCs w:val="28"/>
        </w:rPr>
      </w:pPr>
      <w:r w:rsidRPr="00687572">
        <w:rPr>
          <w:rFonts w:ascii="Times New Roman" w:hAnsi="Times New Roman"/>
          <w:b/>
          <w:sz w:val="28"/>
          <w:szCs w:val="28"/>
        </w:rPr>
        <w:t>Примечания по приготовлению:</w:t>
      </w:r>
    </w:p>
    <w:p w14:paraId="30791B67" w14:textId="77777777" w:rsidR="00EF594A" w:rsidRPr="00687572" w:rsidRDefault="00EF594A" w:rsidP="00EF594A">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sz w:val="28"/>
          <w:szCs w:val="28"/>
        </w:rPr>
      </w:pPr>
      <w:r w:rsidRPr="00687572">
        <w:rPr>
          <w:rFonts w:ascii="Times New Roman" w:hAnsi="Times New Roman"/>
          <w:sz w:val="28"/>
          <w:szCs w:val="28"/>
        </w:rPr>
        <w:t>Белая или почти белая лепешка (или порошок) должна раствориться полностью. Осторожно перемешайте, пока не будет получен прозрачный раствор.</w:t>
      </w:r>
    </w:p>
    <w:p w14:paraId="311D0779" w14:textId="77777777" w:rsidR="00EF594A" w:rsidRPr="00687572" w:rsidRDefault="00EF594A" w:rsidP="00EF594A">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sz w:val="28"/>
          <w:szCs w:val="28"/>
        </w:rPr>
      </w:pPr>
      <w:r w:rsidRPr="00687572">
        <w:rPr>
          <w:rFonts w:ascii="Times New Roman" w:hAnsi="Times New Roman"/>
          <w:sz w:val="28"/>
          <w:szCs w:val="28"/>
        </w:rPr>
        <w:t>Визуально изучите восстановленный раствор на наличие твердых примесей или изменение цвета во время восстановления или перед инфузией. Не использовать, если раствор мутный или образовался осадок.</w:t>
      </w:r>
    </w:p>
    <w:p w14:paraId="41B48A9E" w14:textId="77777777" w:rsidR="00EF594A" w:rsidRPr="000E7CAB" w:rsidRDefault="00EF594A" w:rsidP="000E7CAB">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sz w:val="28"/>
          <w:szCs w:val="28"/>
        </w:rPr>
      </w:pPr>
      <w:r w:rsidRPr="00687572">
        <w:rPr>
          <w:rFonts w:ascii="Times New Roman" w:hAnsi="Times New Roman"/>
          <w:sz w:val="28"/>
          <w:szCs w:val="28"/>
        </w:rPr>
        <w:t>Содержимое флакона с указанной дозой Касфоцина обеспечивает полную суточную дозу (50 мг) при извлечении 10 мл восстановленного раствора из флакона.</w:t>
      </w:r>
    </w:p>
    <w:p w14:paraId="4636AB2F" w14:textId="6FC5477C" w:rsidR="00EF594A" w:rsidRDefault="00EF594A" w:rsidP="00496632">
      <w:pPr>
        <w:pStyle w:val="5"/>
        <w:tabs>
          <w:tab w:val="left" w:pos="9540"/>
        </w:tabs>
        <w:spacing w:before="0" w:after="0" w:line="20" w:lineRule="atLeast"/>
        <w:jc w:val="both"/>
        <w:rPr>
          <w:rFonts w:ascii="Times New Roman" w:hAnsi="Times New Roman"/>
          <w:bCs w:val="0"/>
          <w:sz w:val="28"/>
          <w:szCs w:val="28"/>
        </w:rPr>
      </w:pPr>
      <w:r w:rsidRPr="00687572">
        <w:rPr>
          <w:rFonts w:ascii="Times New Roman" w:hAnsi="Times New Roman"/>
          <w:bCs w:val="0"/>
          <w:sz w:val="28"/>
          <w:szCs w:val="28"/>
        </w:rPr>
        <w:t xml:space="preserve">Касфоцин, лиофилизат для приготовления концентрата, предназначенного для получения раствора для инфузий для получения дозы 70 мг (с использованием флакона 50 мг) </w:t>
      </w:r>
    </w:p>
    <w:p w14:paraId="7E546591" w14:textId="77777777" w:rsidR="00A13C45" w:rsidRPr="00A13C45" w:rsidRDefault="00A13C45" w:rsidP="00A13C45"/>
    <w:p w14:paraId="3A521778" w14:textId="77777777" w:rsidR="00EF594A" w:rsidRPr="00687572" w:rsidRDefault="00EF594A" w:rsidP="00EF594A">
      <w:pPr>
        <w:spacing w:after="0" w:line="20" w:lineRule="atLeast"/>
        <w:jc w:val="center"/>
        <w:rPr>
          <w:rFonts w:ascii="Times New Roman" w:hAnsi="Times New Roman"/>
          <w:b/>
          <w:i/>
          <w:sz w:val="28"/>
          <w:szCs w:val="28"/>
          <w:u w:val="single"/>
        </w:rPr>
      </w:pPr>
      <w:r w:rsidRPr="00687572">
        <w:rPr>
          <w:rFonts w:ascii="Times New Roman" w:hAnsi="Times New Roman"/>
          <w:b/>
          <w:i/>
          <w:sz w:val="28"/>
          <w:szCs w:val="28"/>
          <w:u w:val="single"/>
        </w:rPr>
        <w:lastRenderedPageBreak/>
        <w:t>Указания по применению у взрослых пациентов</w:t>
      </w:r>
    </w:p>
    <w:p w14:paraId="7A5B37EC" w14:textId="77777777" w:rsidR="00EF594A" w:rsidRPr="00687572" w:rsidRDefault="00EF594A" w:rsidP="00EF594A">
      <w:pPr>
        <w:spacing w:after="0" w:line="20" w:lineRule="atLeast"/>
        <w:jc w:val="center"/>
        <w:rPr>
          <w:rFonts w:ascii="Times New Roman" w:hAnsi="Times New Roman"/>
          <w:b/>
          <w:i/>
          <w:sz w:val="28"/>
          <w:szCs w:val="28"/>
          <w:u w:val="single"/>
        </w:rPr>
      </w:pPr>
    </w:p>
    <w:p w14:paraId="187D5711" w14:textId="77777777" w:rsidR="00EF594A" w:rsidRPr="00687572" w:rsidRDefault="00EF594A" w:rsidP="00EF594A">
      <w:pPr>
        <w:spacing w:after="0" w:line="20" w:lineRule="atLeast"/>
        <w:jc w:val="both"/>
        <w:rPr>
          <w:rFonts w:ascii="Times New Roman" w:hAnsi="Times New Roman"/>
          <w:i/>
          <w:sz w:val="28"/>
          <w:szCs w:val="28"/>
        </w:rPr>
      </w:pPr>
      <w:r w:rsidRPr="00687572">
        <w:rPr>
          <w:rFonts w:ascii="Times New Roman" w:hAnsi="Times New Roman"/>
          <w:i/>
          <w:sz w:val="28"/>
          <w:szCs w:val="28"/>
        </w:rPr>
        <w:t>Шаг 1. Приготовление первичного раствора (восстановленного) во флаконе</w:t>
      </w:r>
    </w:p>
    <w:p w14:paraId="1B81E43F" w14:textId="77777777" w:rsidR="00EF594A" w:rsidRPr="00687572" w:rsidRDefault="00EF594A" w:rsidP="00EF594A">
      <w:pPr>
        <w:spacing w:after="0" w:line="20" w:lineRule="atLeast"/>
        <w:ind w:right="-20"/>
        <w:jc w:val="both"/>
        <w:rPr>
          <w:rFonts w:ascii="Times New Roman" w:hAnsi="Times New Roman"/>
          <w:bCs/>
          <w:i/>
          <w:iCs/>
          <w:sz w:val="28"/>
          <w:szCs w:val="28"/>
        </w:rPr>
      </w:pPr>
      <w:r w:rsidRPr="00687572">
        <w:rPr>
          <w:rFonts w:ascii="Times New Roman" w:hAnsi="Times New Roman"/>
          <w:bCs/>
          <w:iCs/>
          <w:sz w:val="28"/>
          <w:szCs w:val="28"/>
        </w:rPr>
        <w:t>Перед разведением холодный флакон с порошком Касфоцина необходимо довести до комнатной температуры и в условиях соблюдения асептики добавить 10.5 мл воды для инъекций или раствора Рингера. Концентрация препарата в первичном растворе (во флаконе 50 мг) составит 5.2 мг/мл.</w:t>
      </w:r>
    </w:p>
    <w:p w14:paraId="611DF9C9" w14:textId="77777777" w:rsidR="00EF594A" w:rsidRPr="00687572" w:rsidRDefault="00EF594A" w:rsidP="00EF594A">
      <w:pPr>
        <w:spacing w:after="0" w:line="20" w:lineRule="atLeast"/>
        <w:ind w:right="-20"/>
        <w:jc w:val="both"/>
        <w:rPr>
          <w:rFonts w:ascii="Times New Roman" w:hAnsi="Times New Roman"/>
          <w:bCs/>
          <w:iCs/>
          <w:sz w:val="28"/>
          <w:szCs w:val="28"/>
        </w:rPr>
      </w:pPr>
      <w:r w:rsidRPr="00687572">
        <w:rPr>
          <w:rFonts w:ascii="Times New Roman" w:hAnsi="Times New Roman"/>
          <w:bCs/>
          <w:iCs/>
          <w:sz w:val="28"/>
          <w:szCs w:val="28"/>
        </w:rPr>
        <w:t>Белый или почти белый лиофилизированный порошок должен полностью раствориться. Осторожно перемешайте содержимое флакона до получения прозрачного раствора. Восстановленный первичный раствор следует визуально проверить на наличие твердых частиц или изменения цвета. Восстановленный раствор можно хранить в течение 24 часов при температуре 25 °C и ниже.</w:t>
      </w:r>
    </w:p>
    <w:p w14:paraId="56047700" w14:textId="77777777" w:rsidR="00EF594A" w:rsidRPr="00687572" w:rsidRDefault="00EF594A" w:rsidP="00EF594A">
      <w:pPr>
        <w:spacing w:after="0" w:line="20" w:lineRule="atLeast"/>
        <w:ind w:right="-20"/>
        <w:jc w:val="both"/>
        <w:rPr>
          <w:rFonts w:ascii="Times New Roman" w:hAnsi="Times New Roman"/>
          <w:sz w:val="28"/>
          <w:szCs w:val="28"/>
        </w:rPr>
      </w:pPr>
      <w:r w:rsidRPr="00687572">
        <w:rPr>
          <w:rFonts w:ascii="Times New Roman" w:hAnsi="Times New Roman"/>
          <w:i/>
          <w:sz w:val="28"/>
          <w:szCs w:val="28"/>
        </w:rPr>
        <w:t>Шаг 2 Добавление восстановленного Касфоцина в раствор для инфузий</w:t>
      </w:r>
    </w:p>
    <w:p w14:paraId="045612D2" w14:textId="77777777" w:rsidR="00EF594A" w:rsidRPr="00687572" w:rsidRDefault="00EF594A" w:rsidP="00EF594A">
      <w:pPr>
        <w:spacing w:after="0" w:line="20" w:lineRule="atLeast"/>
        <w:ind w:right="-20"/>
        <w:jc w:val="both"/>
        <w:rPr>
          <w:rFonts w:ascii="Times New Roman" w:hAnsi="Times New Roman"/>
          <w:sz w:val="28"/>
          <w:szCs w:val="28"/>
        </w:rPr>
      </w:pPr>
      <w:r w:rsidRPr="00687572">
        <w:rPr>
          <w:rFonts w:ascii="Times New Roman" w:hAnsi="Times New Roman"/>
          <w:sz w:val="28"/>
          <w:szCs w:val="28"/>
        </w:rPr>
        <w:t>В качестве растворителей используются раствор хлорида натрия для инъекций или раствор Рингера с лактатом. Раствор для инфузии готовят путем асептического добавления соответствующего количества восстановленного концентрата (как указано в таблице 2 ниже) в инфузионный мешок или флакон объемом 250 мл. По медицинским показаниям можно применять для инфузии уменьшенный объем в 100 мл для суточных доз 50 мг или 35 мг. Не использовать, если раствор мутный или образовался осадок.</w:t>
      </w:r>
    </w:p>
    <w:p w14:paraId="751CB144" w14:textId="77777777" w:rsidR="00EF594A" w:rsidRPr="00687572" w:rsidRDefault="00EF594A" w:rsidP="001E054C">
      <w:pPr>
        <w:spacing w:after="0" w:line="20" w:lineRule="atLeast"/>
        <w:ind w:right="-20"/>
        <w:jc w:val="both"/>
        <w:rPr>
          <w:rFonts w:ascii="Times New Roman" w:hAnsi="Times New Roman"/>
          <w:i/>
          <w:sz w:val="28"/>
          <w:szCs w:val="28"/>
        </w:rPr>
      </w:pPr>
      <w:r w:rsidRPr="00687572">
        <w:rPr>
          <w:rFonts w:ascii="Times New Roman" w:hAnsi="Times New Roman"/>
          <w:i/>
          <w:sz w:val="28"/>
          <w:szCs w:val="28"/>
        </w:rPr>
        <w:t>Таблица 2. Приготовление конечного инфузионного раствора Касфоцина (с использованием флакона 50 мг)</w:t>
      </w:r>
    </w:p>
    <w:p w14:paraId="68C979A2" w14:textId="77777777" w:rsidR="00EF594A" w:rsidRPr="00687572" w:rsidRDefault="00EF594A" w:rsidP="00EF594A">
      <w:pPr>
        <w:spacing w:after="0" w:line="20" w:lineRule="atLeast"/>
        <w:rPr>
          <w:rFonts w:ascii="Times New Roman" w:hAnsi="Times New Roman"/>
          <w:i/>
          <w:sz w:val="28"/>
          <w:szCs w:val="28"/>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19"/>
        <w:gridCol w:w="1843"/>
        <w:gridCol w:w="1701"/>
        <w:gridCol w:w="2409"/>
      </w:tblGrid>
      <w:tr w:rsidR="00EF594A" w:rsidRPr="00687572" w14:paraId="5E16E2B3" w14:textId="77777777" w:rsidTr="00EB3F16">
        <w:tc>
          <w:tcPr>
            <w:tcW w:w="3119" w:type="dxa"/>
          </w:tcPr>
          <w:p w14:paraId="144C267A" w14:textId="77777777" w:rsidR="00EF594A" w:rsidRPr="00687572" w:rsidRDefault="00EF594A" w:rsidP="00EB3F16">
            <w:pPr>
              <w:spacing w:after="0" w:line="20" w:lineRule="atLeast"/>
              <w:jc w:val="center"/>
              <w:rPr>
                <w:rFonts w:ascii="Times New Roman" w:hAnsi="Times New Roman"/>
                <w:b/>
                <w:bCs/>
                <w:sz w:val="28"/>
                <w:szCs w:val="28"/>
              </w:rPr>
            </w:pPr>
            <w:r w:rsidRPr="00687572">
              <w:rPr>
                <w:rFonts w:ascii="Times New Roman" w:hAnsi="Times New Roman"/>
                <w:b/>
                <w:bCs/>
                <w:sz w:val="28"/>
                <w:szCs w:val="28"/>
              </w:rPr>
              <w:t>Доза* Касфоцина</w:t>
            </w:r>
          </w:p>
          <w:p w14:paraId="486CDC01" w14:textId="77777777" w:rsidR="00EF594A" w:rsidRPr="00687572" w:rsidRDefault="00EF594A" w:rsidP="00EB3F16">
            <w:pPr>
              <w:spacing w:after="0" w:line="20" w:lineRule="atLeast"/>
              <w:rPr>
                <w:rFonts w:ascii="Times New Roman" w:hAnsi="Times New Roman"/>
                <w:b/>
                <w:bCs/>
                <w:sz w:val="28"/>
                <w:szCs w:val="28"/>
              </w:rPr>
            </w:pPr>
          </w:p>
          <w:p w14:paraId="1340E95C" w14:textId="77777777" w:rsidR="00EF594A" w:rsidRPr="00687572" w:rsidRDefault="00EF594A" w:rsidP="00EB3F16">
            <w:pPr>
              <w:spacing w:after="0" w:line="20" w:lineRule="atLeast"/>
              <w:rPr>
                <w:rFonts w:ascii="Times New Roman" w:hAnsi="Times New Roman"/>
                <w:bCs/>
                <w:sz w:val="28"/>
                <w:szCs w:val="28"/>
              </w:rPr>
            </w:pPr>
          </w:p>
        </w:tc>
        <w:tc>
          <w:tcPr>
            <w:tcW w:w="1843" w:type="dxa"/>
          </w:tcPr>
          <w:p w14:paraId="3C451D7A" w14:textId="77777777" w:rsidR="00EF594A" w:rsidRPr="00687572" w:rsidRDefault="00EF594A" w:rsidP="00EB3F16">
            <w:pPr>
              <w:spacing w:after="0" w:line="20" w:lineRule="atLeast"/>
              <w:ind w:right="105"/>
              <w:jc w:val="center"/>
              <w:rPr>
                <w:rFonts w:ascii="Times New Roman" w:hAnsi="Times New Roman"/>
                <w:b/>
                <w:sz w:val="28"/>
                <w:szCs w:val="28"/>
              </w:rPr>
            </w:pPr>
            <w:r w:rsidRPr="00687572">
              <w:rPr>
                <w:rFonts w:ascii="Times New Roman" w:hAnsi="Times New Roman"/>
                <w:b/>
                <w:sz w:val="28"/>
                <w:szCs w:val="28"/>
              </w:rPr>
              <w:t>Объем первичного раствора Касфоцина для добавления в емкость с растворителем для в/в инфузии</w:t>
            </w:r>
          </w:p>
        </w:tc>
        <w:tc>
          <w:tcPr>
            <w:tcW w:w="1701" w:type="dxa"/>
          </w:tcPr>
          <w:p w14:paraId="4288ADDB" w14:textId="77777777" w:rsidR="00EF594A" w:rsidRPr="00687572" w:rsidRDefault="00EF594A" w:rsidP="00EB3F16">
            <w:pPr>
              <w:spacing w:after="0" w:line="20" w:lineRule="atLeast"/>
              <w:jc w:val="center"/>
              <w:rPr>
                <w:rFonts w:ascii="Times New Roman" w:hAnsi="Times New Roman"/>
                <w:b/>
                <w:sz w:val="28"/>
                <w:szCs w:val="28"/>
              </w:rPr>
            </w:pPr>
            <w:r w:rsidRPr="00687572">
              <w:rPr>
                <w:rFonts w:ascii="Times New Roman" w:hAnsi="Times New Roman"/>
                <w:b/>
                <w:sz w:val="28"/>
                <w:szCs w:val="28"/>
              </w:rPr>
              <w:t>Стандартное разведение</w:t>
            </w:r>
          </w:p>
          <w:p w14:paraId="108290EA" w14:textId="77777777" w:rsidR="00EF594A" w:rsidRPr="00687572" w:rsidRDefault="00EF594A" w:rsidP="00EB3F16">
            <w:pPr>
              <w:spacing w:after="0" w:line="20" w:lineRule="atLeast"/>
              <w:ind w:left="36" w:right="47"/>
              <w:jc w:val="center"/>
              <w:rPr>
                <w:rFonts w:ascii="Times New Roman" w:hAnsi="Times New Roman"/>
                <w:sz w:val="28"/>
                <w:szCs w:val="28"/>
              </w:rPr>
            </w:pPr>
            <w:r w:rsidRPr="00687572">
              <w:rPr>
                <w:rFonts w:ascii="Times New Roman" w:hAnsi="Times New Roman"/>
                <w:sz w:val="28"/>
                <w:szCs w:val="28"/>
              </w:rPr>
              <w:t xml:space="preserve">(первичный раствор Касфо-цина + 250 мл растворителя) концентрация конечного инфузионного раствора </w:t>
            </w:r>
          </w:p>
        </w:tc>
        <w:tc>
          <w:tcPr>
            <w:tcW w:w="2409" w:type="dxa"/>
          </w:tcPr>
          <w:p w14:paraId="7BFE1920" w14:textId="77777777" w:rsidR="00EF594A" w:rsidRPr="00687572" w:rsidRDefault="00EF594A" w:rsidP="00EB3F16">
            <w:pPr>
              <w:spacing w:after="0" w:line="20" w:lineRule="atLeast"/>
              <w:ind w:right="142"/>
              <w:jc w:val="center"/>
              <w:rPr>
                <w:rFonts w:ascii="Times New Roman" w:hAnsi="Times New Roman"/>
                <w:sz w:val="28"/>
                <w:szCs w:val="28"/>
              </w:rPr>
            </w:pPr>
            <w:r w:rsidRPr="00687572">
              <w:rPr>
                <w:rFonts w:ascii="Times New Roman" w:hAnsi="Times New Roman"/>
                <w:b/>
                <w:sz w:val="28"/>
                <w:szCs w:val="28"/>
              </w:rPr>
              <w:t>Разведение в уменьшенном объеме</w:t>
            </w:r>
            <w:r w:rsidRPr="00687572">
              <w:rPr>
                <w:rFonts w:ascii="Times New Roman" w:hAnsi="Times New Roman"/>
                <w:sz w:val="28"/>
                <w:szCs w:val="28"/>
              </w:rPr>
              <w:t xml:space="preserve"> (первичный раствор Касфоцина + 100 мл растворителя) концентрация конечного инфузионного раствора </w:t>
            </w:r>
          </w:p>
        </w:tc>
      </w:tr>
      <w:tr w:rsidR="00EF594A" w:rsidRPr="00687572" w14:paraId="7BBA51EE" w14:textId="77777777" w:rsidTr="00EB3F16">
        <w:tc>
          <w:tcPr>
            <w:tcW w:w="3119" w:type="dxa"/>
          </w:tcPr>
          <w:p w14:paraId="2F03D375" w14:textId="77777777" w:rsidR="00EF594A" w:rsidRPr="00687572" w:rsidRDefault="00EF594A" w:rsidP="00EB3F16">
            <w:pPr>
              <w:spacing w:after="0" w:line="20" w:lineRule="atLeast"/>
              <w:jc w:val="center"/>
              <w:rPr>
                <w:rFonts w:ascii="Times New Roman" w:hAnsi="Times New Roman"/>
                <w:sz w:val="28"/>
                <w:szCs w:val="28"/>
              </w:rPr>
            </w:pPr>
            <w:r w:rsidRPr="00687572">
              <w:rPr>
                <w:rFonts w:ascii="Times New Roman" w:hAnsi="Times New Roman"/>
                <w:sz w:val="28"/>
                <w:szCs w:val="28"/>
              </w:rPr>
              <w:t>70 мг (из 2 фл. по 50 мг)**</w:t>
            </w:r>
          </w:p>
        </w:tc>
        <w:tc>
          <w:tcPr>
            <w:tcW w:w="1843" w:type="dxa"/>
          </w:tcPr>
          <w:p w14:paraId="40D3EE98" w14:textId="77777777" w:rsidR="00EF594A" w:rsidRPr="00687572" w:rsidRDefault="00EF594A" w:rsidP="00EB3F16">
            <w:pPr>
              <w:spacing w:after="0" w:line="20" w:lineRule="atLeast"/>
              <w:jc w:val="center"/>
              <w:rPr>
                <w:rFonts w:ascii="Times New Roman" w:hAnsi="Times New Roman"/>
                <w:sz w:val="28"/>
                <w:szCs w:val="28"/>
              </w:rPr>
            </w:pPr>
            <w:r w:rsidRPr="00687572">
              <w:rPr>
                <w:rFonts w:ascii="Times New Roman" w:hAnsi="Times New Roman"/>
                <w:sz w:val="28"/>
                <w:szCs w:val="28"/>
              </w:rPr>
              <w:t>14 мл</w:t>
            </w:r>
          </w:p>
        </w:tc>
        <w:tc>
          <w:tcPr>
            <w:tcW w:w="1701" w:type="dxa"/>
            <w:vAlign w:val="center"/>
          </w:tcPr>
          <w:p w14:paraId="1D7514D0" w14:textId="77777777" w:rsidR="00EF594A" w:rsidRPr="00687572" w:rsidRDefault="00EF594A" w:rsidP="00EB3F16">
            <w:pPr>
              <w:pStyle w:val="Body"/>
              <w:spacing w:line="20" w:lineRule="atLeast"/>
              <w:ind w:firstLine="0"/>
              <w:jc w:val="center"/>
              <w:rPr>
                <w:rFonts w:ascii="Times New Roman" w:hAnsi="Times New Roman"/>
                <w:sz w:val="28"/>
                <w:szCs w:val="28"/>
              </w:rPr>
            </w:pPr>
            <w:r w:rsidRPr="00687572">
              <w:rPr>
                <w:rFonts w:ascii="Times New Roman" w:hAnsi="Times New Roman"/>
                <w:sz w:val="28"/>
                <w:szCs w:val="28"/>
              </w:rPr>
              <w:t xml:space="preserve">0.28 </w:t>
            </w:r>
            <w:r w:rsidRPr="00687572">
              <w:rPr>
                <w:rFonts w:ascii="Times New Roman" w:hAnsi="Times New Roman"/>
                <w:sz w:val="28"/>
                <w:szCs w:val="28"/>
                <w:lang w:val="ru-RU"/>
              </w:rPr>
              <w:t>мг/мл</w:t>
            </w:r>
          </w:p>
        </w:tc>
        <w:tc>
          <w:tcPr>
            <w:tcW w:w="2409" w:type="dxa"/>
          </w:tcPr>
          <w:p w14:paraId="2FAC3001" w14:textId="77777777" w:rsidR="00EF594A" w:rsidRPr="00687572" w:rsidRDefault="00EF594A" w:rsidP="00EB3F16">
            <w:pPr>
              <w:spacing w:after="0" w:line="20" w:lineRule="atLeast"/>
              <w:jc w:val="center"/>
              <w:rPr>
                <w:rFonts w:ascii="Times New Roman" w:hAnsi="Times New Roman"/>
                <w:sz w:val="28"/>
                <w:szCs w:val="28"/>
              </w:rPr>
            </w:pPr>
            <w:r w:rsidRPr="00687572">
              <w:rPr>
                <w:rFonts w:ascii="Times New Roman" w:hAnsi="Times New Roman"/>
                <w:sz w:val="28"/>
                <w:szCs w:val="28"/>
              </w:rPr>
              <w:t>не рекомендуется</w:t>
            </w:r>
          </w:p>
        </w:tc>
      </w:tr>
    </w:tbl>
    <w:p w14:paraId="35E600D0" w14:textId="77777777" w:rsidR="00EF594A" w:rsidRPr="00687572" w:rsidRDefault="00EF594A" w:rsidP="00EF594A">
      <w:pPr>
        <w:spacing w:after="0" w:line="20" w:lineRule="atLeast"/>
        <w:ind w:left="142" w:right="-20"/>
        <w:jc w:val="both"/>
        <w:rPr>
          <w:rFonts w:ascii="Times New Roman" w:hAnsi="Times New Roman"/>
          <w:sz w:val="28"/>
          <w:szCs w:val="28"/>
        </w:rPr>
      </w:pPr>
      <w:r w:rsidRPr="00687572">
        <w:rPr>
          <w:rFonts w:ascii="Times New Roman" w:hAnsi="Times New Roman"/>
          <w:sz w:val="28"/>
          <w:szCs w:val="28"/>
        </w:rPr>
        <w:t>* 10,5 мл необходимо использовать для восстановления всех флаконов.</w:t>
      </w:r>
    </w:p>
    <w:p w14:paraId="53B9EE06" w14:textId="77777777" w:rsidR="00EF594A" w:rsidRPr="00687572" w:rsidRDefault="00EF594A" w:rsidP="007F3939">
      <w:pPr>
        <w:spacing w:after="0" w:line="20" w:lineRule="atLeast"/>
        <w:jc w:val="both"/>
        <w:rPr>
          <w:rFonts w:ascii="Times New Roman" w:hAnsi="Times New Roman"/>
          <w:sz w:val="28"/>
          <w:szCs w:val="28"/>
        </w:rPr>
      </w:pPr>
      <w:r w:rsidRPr="00687572">
        <w:rPr>
          <w:rFonts w:ascii="Times New Roman" w:hAnsi="Times New Roman"/>
          <w:sz w:val="28"/>
          <w:szCs w:val="28"/>
        </w:rPr>
        <w:t>**при отсутствии флакона по 70 мг, дозу можно приготовить из 2 флаконов по 50 мг</w:t>
      </w:r>
    </w:p>
    <w:p w14:paraId="1EED3A71" w14:textId="77777777" w:rsidR="005C4B12" w:rsidRPr="00687572" w:rsidRDefault="00DB406A" w:rsidP="00844CE8">
      <w:pPr>
        <w:spacing w:after="0" w:line="240" w:lineRule="auto"/>
        <w:jc w:val="both"/>
        <w:rPr>
          <w:rFonts w:ascii="Times New Roman" w:hAnsi="Times New Roman"/>
          <w:i/>
          <w:sz w:val="28"/>
          <w:szCs w:val="28"/>
        </w:rPr>
      </w:pPr>
      <w:bookmarkStart w:id="5" w:name="2175220278"/>
      <w:bookmarkEnd w:id="4"/>
      <w:r w:rsidRPr="00687572">
        <w:rPr>
          <w:rFonts w:ascii="Times New Roman" w:eastAsia="Times New Roman" w:hAnsi="Times New Roman"/>
          <w:b/>
          <w:i/>
          <w:sz w:val="28"/>
          <w:szCs w:val="28"/>
          <w:lang w:eastAsia="ru-RU"/>
        </w:rPr>
        <w:t>Меры, которые необходимо принять в случае передозировки</w:t>
      </w:r>
      <w:r w:rsidRPr="00687572">
        <w:rPr>
          <w:rFonts w:ascii="Times New Roman" w:hAnsi="Times New Roman"/>
          <w:i/>
          <w:sz w:val="28"/>
          <w:szCs w:val="28"/>
        </w:rPr>
        <w:t xml:space="preserve"> </w:t>
      </w:r>
    </w:p>
    <w:p w14:paraId="0DE7C7DD" w14:textId="77777777" w:rsidR="00EF594A" w:rsidRPr="00687572" w:rsidRDefault="00EF594A" w:rsidP="00EF594A">
      <w:pPr>
        <w:spacing w:after="0" w:line="240" w:lineRule="auto"/>
        <w:ind w:right="-23"/>
        <w:jc w:val="both"/>
        <w:rPr>
          <w:rFonts w:ascii="Times New Roman" w:hAnsi="Times New Roman"/>
          <w:sz w:val="28"/>
          <w:szCs w:val="28"/>
        </w:rPr>
      </w:pPr>
      <w:bookmarkStart w:id="6" w:name="2175220279"/>
      <w:bookmarkEnd w:id="5"/>
      <w:r w:rsidRPr="00687572">
        <w:rPr>
          <w:rFonts w:ascii="Times New Roman" w:hAnsi="Times New Roman"/>
          <w:sz w:val="28"/>
          <w:szCs w:val="28"/>
        </w:rPr>
        <w:lastRenderedPageBreak/>
        <w:t xml:space="preserve">Сообщалось о непреднамеренном введении до 400 мг каспофунгина в один день. Эти случаи не приводили к клинически значимым нежелательным реакциям. </w:t>
      </w:r>
    </w:p>
    <w:p w14:paraId="0FEB0F5A" w14:textId="77777777" w:rsidR="00EF594A" w:rsidRPr="00687572" w:rsidRDefault="00EF594A" w:rsidP="00EF594A">
      <w:pPr>
        <w:spacing w:after="0" w:line="240" w:lineRule="auto"/>
        <w:ind w:right="-23"/>
        <w:jc w:val="both"/>
        <w:rPr>
          <w:rFonts w:ascii="Times New Roman" w:hAnsi="Times New Roman"/>
          <w:sz w:val="28"/>
          <w:szCs w:val="28"/>
        </w:rPr>
      </w:pPr>
      <w:r w:rsidRPr="00687572">
        <w:rPr>
          <w:rFonts w:ascii="Times New Roman" w:hAnsi="Times New Roman"/>
          <w:i/>
          <w:sz w:val="28"/>
          <w:szCs w:val="28"/>
        </w:rPr>
        <w:t>Лечение:</w:t>
      </w:r>
      <w:r w:rsidRPr="00687572">
        <w:rPr>
          <w:rFonts w:ascii="Times New Roman" w:hAnsi="Times New Roman"/>
          <w:sz w:val="28"/>
          <w:szCs w:val="28"/>
        </w:rPr>
        <w:t xml:space="preserve"> каспофунгин не поддается диализу. Специфического антидота нет. Лечение при передозировке симптоматическое.</w:t>
      </w:r>
    </w:p>
    <w:bookmarkEnd w:id="6"/>
    <w:p w14:paraId="47B8ADA9" w14:textId="77777777" w:rsidR="00A12563" w:rsidRPr="00687572" w:rsidRDefault="00A12563" w:rsidP="00844CE8">
      <w:pPr>
        <w:spacing w:after="0" w:line="240" w:lineRule="auto"/>
        <w:jc w:val="both"/>
        <w:rPr>
          <w:rFonts w:ascii="Times New Roman" w:eastAsia="Times New Roman" w:hAnsi="Times New Roman"/>
          <w:b/>
          <w:sz w:val="28"/>
          <w:szCs w:val="28"/>
          <w:lang w:eastAsia="ru-RU"/>
        </w:rPr>
      </w:pPr>
    </w:p>
    <w:p w14:paraId="12EB0E8E" w14:textId="77777777" w:rsidR="001937AD" w:rsidRPr="00687572" w:rsidRDefault="001937AD" w:rsidP="00844CE8">
      <w:pPr>
        <w:spacing w:after="0" w:line="240" w:lineRule="auto"/>
        <w:jc w:val="both"/>
        <w:rPr>
          <w:rFonts w:ascii="Times New Roman" w:hAnsi="Times New Roman"/>
          <w:b/>
          <w:sz w:val="28"/>
          <w:szCs w:val="28"/>
        </w:rPr>
      </w:pPr>
      <w:bookmarkStart w:id="7" w:name="2175220282"/>
      <w:r w:rsidRPr="00687572">
        <w:rPr>
          <w:rFonts w:ascii="Times New Roman" w:eastAsia="Times New Roman" w:hAnsi="Times New Roman"/>
          <w:b/>
          <w:sz w:val="28"/>
          <w:szCs w:val="28"/>
          <w:lang w:eastAsia="ru-RU"/>
        </w:rPr>
        <w:t>Описание нежелательных реакций</w:t>
      </w:r>
      <w:r w:rsidR="005C4B12" w:rsidRPr="00687572">
        <w:rPr>
          <w:rFonts w:ascii="Times New Roman" w:eastAsia="Times New Roman" w:hAnsi="Times New Roman"/>
          <w:b/>
          <w:sz w:val="28"/>
          <w:szCs w:val="28"/>
          <w:lang w:eastAsia="ru-RU"/>
        </w:rPr>
        <w:t xml:space="preserve">, </w:t>
      </w:r>
      <w:r w:rsidRPr="00687572">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7"/>
    <w:p w14:paraId="5E9A0F1D" w14:textId="729E893A" w:rsidR="0004701B" w:rsidRPr="00687572" w:rsidRDefault="0004701B" w:rsidP="0004701B">
      <w:pPr>
        <w:spacing w:after="0" w:line="240" w:lineRule="auto"/>
        <w:jc w:val="both"/>
        <w:rPr>
          <w:rFonts w:ascii="Times New Roman" w:hAnsi="Times New Roman"/>
          <w:color w:val="000000"/>
          <w:sz w:val="28"/>
          <w:szCs w:val="28"/>
        </w:rPr>
      </w:pPr>
      <w:r w:rsidRPr="00687572">
        <w:rPr>
          <w:rFonts w:ascii="Times New Roman" w:hAnsi="Times New Roman"/>
          <w:color w:val="000000"/>
          <w:sz w:val="28"/>
          <w:szCs w:val="28"/>
        </w:rPr>
        <w:t xml:space="preserve">Сообщалось о реакциях гиперчувствительности (анафилаксия </w:t>
      </w:r>
      <w:r w:rsidR="002E7588" w:rsidRPr="00687572">
        <w:rPr>
          <w:rFonts w:ascii="Times New Roman" w:hAnsi="Times New Roman"/>
          <w:color w:val="000000"/>
          <w:sz w:val="28"/>
          <w:szCs w:val="28"/>
        </w:rPr>
        <w:t>и, вероятно,</w:t>
      </w:r>
      <w:r w:rsidRPr="00687572">
        <w:rPr>
          <w:rFonts w:ascii="Times New Roman" w:hAnsi="Times New Roman"/>
          <w:color w:val="000000"/>
          <w:sz w:val="28"/>
          <w:szCs w:val="28"/>
        </w:rPr>
        <w:t xml:space="preserve"> гистамин-опосредованные побочные реакции) (см. раздел Особые указания).</w:t>
      </w:r>
    </w:p>
    <w:p w14:paraId="5742A7D9" w14:textId="77777777" w:rsidR="0004701B" w:rsidRPr="00687572" w:rsidRDefault="0004701B" w:rsidP="0004701B">
      <w:pPr>
        <w:spacing w:after="0" w:line="240" w:lineRule="auto"/>
        <w:jc w:val="both"/>
        <w:rPr>
          <w:rFonts w:ascii="Times New Roman" w:hAnsi="Times New Roman"/>
          <w:color w:val="000000"/>
          <w:sz w:val="28"/>
          <w:szCs w:val="28"/>
        </w:rPr>
      </w:pPr>
      <w:r w:rsidRPr="00687572">
        <w:rPr>
          <w:rFonts w:ascii="Times New Roman" w:hAnsi="Times New Roman"/>
          <w:color w:val="000000"/>
          <w:sz w:val="28"/>
          <w:szCs w:val="28"/>
        </w:rPr>
        <w:t>Также сообщалось об отеке легких, респираторном дистресс-синдроме взрослых (ARDS) и рентгенографических инфильтратах у пациентов с инвазивным аспергиллезом.</w:t>
      </w:r>
    </w:p>
    <w:p w14:paraId="332E0148" w14:textId="77777777" w:rsidR="0004701B" w:rsidRPr="00687572" w:rsidRDefault="0004701B" w:rsidP="0004701B">
      <w:pPr>
        <w:spacing w:after="0" w:line="240" w:lineRule="auto"/>
        <w:jc w:val="both"/>
        <w:rPr>
          <w:rFonts w:ascii="Times New Roman" w:hAnsi="Times New Roman"/>
          <w:color w:val="000000"/>
          <w:sz w:val="28"/>
          <w:szCs w:val="28"/>
        </w:rPr>
      </w:pPr>
      <w:r w:rsidRPr="00687572">
        <w:rPr>
          <w:rFonts w:ascii="Times New Roman" w:hAnsi="Times New Roman"/>
          <w:color w:val="000000"/>
          <w:sz w:val="28"/>
          <w:szCs w:val="28"/>
        </w:rPr>
        <w:t>Во время клинических исследований и/или пострегистрационного использования сообщалось о следующих побочных реакциях:</w:t>
      </w:r>
    </w:p>
    <w:p w14:paraId="06F3EBA5" w14:textId="3F74DBB7" w:rsidR="0004701B" w:rsidRPr="00687572" w:rsidRDefault="0004701B" w:rsidP="0004701B">
      <w:pPr>
        <w:spacing w:after="0" w:line="240" w:lineRule="auto"/>
        <w:jc w:val="both"/>
        <w:rPr>
          <w:rFonts w:ascii="Times New Roman" w:hAnsi="Times New Roman"/>
          <w:i/>
          <w:sz w:val="28"/>
          <w:szCs w:val="28"/>
        </w:rPr>
      </w:pPr>
      <w:r w:rsidRPr="00687572">
        <w:rPr>
          <w:rFonts w:ascii="Times New Roman" w:eastAsia="Times New Roman" w:hAnsi="Times New Roman"/>
          <w:bCs/>
          <w:i/>
          <w:sz w:val="28"/>
          <w:szCs w:val="28"/>
          <w:lang w:eastAsia="ru-RU"/>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w:t>
      </w:r>
      <w:r w:rsidRPr="00687572">
        <w:rPr>
          <w:rFonts w:ascii="Times New Roman" w:hAnsi="Times New Roman"/>
          <w:i/>
          <w:sz w:val="28"/>
          <w:szCs w:val="28"/>
        </w:rPr>
        <w:t xml:space="preserve"> неизвестно</w:t>
      </w:r>
      <w:r w:rsidR="00335432">
        <w:rPr>
          <w:rFonts w:ascii="Times New Roman" w:hAnsi="Times New Roman"/>
          <w:i/>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2038"/>
        <w:gridCol w:w="3349"/>
        <w:gridCol w:w="2126"/>
      </w:tblGrid>
      <w:tr w:rsidR="0004701B" w:rsidRPr="00687572" w14:paraId="4CD76521" w14:textId="77777777" w:rsidTr="00607114">
        <w:trPr>
          <w:trHeight w:val="20"/>
        </w:trPr>
        <w:tc>
          <w:tcPr>
            <w:tcW w:w="1843" w:type="dxa"/>
          </w:tcPr>
          <w:p w14:paraId="56A3CD2A" w14:textId="77777777" w:rsidR="0004701B" w:rsidRPr="00687572" w:rsidRDefault="0004701B" w:rsidP="00EB3F16">
            <w:pPr>
              <w:spacing w:line="216" w:lineRule="auto"/>
              <w:ind w:left="49"/>
              <w:rPr>
                <w:rFonts w:ascii="Times New Roman" w:hAnsi="Times New Roman"/>
                <w:sz w:val="28"/>
                <w:szCs w:val="28"/>
              </w:rPr>
            </w:pPr>
            <w:r w:rsidRPr="00687572">
              <w:rPr>
                <w:rFonts w:ascii="Times New Roman" w:hAnsi="Times New Roman"/>
                <w:b/>
                <w:i/>
                <w:sz w:val="28"/>
                <w:szCs w:val="28"/>
              </w:rPr>
              <w:t>Системные и органные нарушения</w:t>
            </w:r>
          </w:p>
        </w:tc>
        <w:tc>
          <w:tcPr>
            <w:tcW w:w="2038" w:type="dxa"/>
          </w:tcPr>
          <w:p w14:paraId="6502B53F" w14:textId="77777777" w:rsidR="0004701B" w:rsidRPr="00687572" w:rsidRDefault="0004701B" w:rsidP="00335432">
            <w:pPr>
              <w:spacing w:after="0" w:line="240" w:lineRule="auto"/>
              <w:ind w:left="51" w:right="119"/>
              <w:rPr>
                <w:rFonts w:ascii="Times New Roman" w:hAnsi="Times New Roman"/>
                <w:sz w:val="28"/>
                <w:szCs w:val="28"/>
              </w:rPr>
            </w:pPr>
            <w:r w:rsidRPr="00687572">
              <w:rPr>
                <w:rFonts w:ascii="Times New Roman" w:hAnsi="Times New Roman"/>
                <w:b/>
                <w:i/>
                <w:sz w:val="28"/>
                <w:szCs w:val="28"/>
              </w:rPr>
              <w:t>Часто</w:t>
            </w:r>
          </w:p>
          <w:p w14:paraId="33F02ECB" w14:textId="77777777" w:rsidR="0004701B" w:rsidRPr="00687572" w:rsidRDefault="0004701B" w:rsidP="00335432">
            <w:pPr>
              <w:spacing w:after="0" w:line="240" w:lineRule="auto"/>
              <w:ind w:left="51" w:right="119"/>
              <w:rPr>
                <w:rFonts w:ascii="Times New Roman" w:hAnsi="Times New Roman"/>
                <w:sz w:val="28"/>
                <w:szCs w:val="28"/>
              </w:rPr>
            </w:pPr>
            <w:r w:rsidRPr="00687572">
              <w:rPr>
                <w:rFonts w:ascii="Times New Roman" w:hAnsi="Times New Roman"/>
                <w:b/>
                <w:i/>
                <w:sz w:val="28"/>
                <w:szCs w:val="28"/>
              </w:rPr>
              <w:t>(от ≥1/100 до &lt;1/10)</w:t>
            </w:r>
          </w:p>
        </w:tc>
        <w:tc>
          <w:tcPr>
            <w:tcW w:w="3349" w:type="dxa"/>
          </w:tcPr>
          <w:p w14:paraId="203FF3B8" w14:textId="040B754F" w:rsidR="0004701B" w:rsidRPr="00687572" w:rsidRDefault="0004701B" w:rsidP="00EB3F16">
            <w:pPr>
              <w:spacing w:line="216" w:lineRule="auto"/>
              <w:ind w:left="49" w:right="120"/>
              <w:rPr>
                <w:rFonts w:ascii="Times New Roman" w:hAnsi="Times New Roman"/>
                <w:sz w:val="28"/>
                <w:szCs w:val="28"/>
              </w:rPr>
            </w:pPr>
            <w:r w:rsidRPr="00687572">
              <w:rPr>
                <w:rFonts w:ascii="Times New Roman" w:hAnsi="Times New Roman"/>
                <w:b/>
                <w:i/>
                <w:sz w:val="28"/>
                <w:szCs w:val="28"/>
              </w:rPr>
              <w:t>Нечасто (от ≥1/1000 до &lt;1/100)</w:t>
            </w:r>
          </w:p>
        </w:tc>
        <w:tc>
          <w:tcPr>
            <w:tcW w:w="2126" w:type="dxa"/>
          </w:tcPr>
          <w:p w14:paraId="5075A8BE" w14:textId="4130B137" w:rsidR="0004701B" w:rsidRPr="00687572" w:rsidRDefault="0004701B" w:rsidP="00EB3F16">
            <w:pPr>
              <w:spacing w:line="216" w:lineRule="auto"/>
              <w:ind w:left="49" w:right="120"/>
              <w:rPr>
                <w:rFonts w:ascii="Times New Roman" w:hAnsi="Times New Roman"/>
                <w:sz w:val="28"/>
                <w:szCs w:val="28"/>
              </w:rPr>
            </w:pPr>
            <w:r w:rsidRPr="00687572">
              <w:rPr>
                <w:rFonts w:ascii="Times New Roman" w:hAnsi="Times New Roman"/>
                <w:b/>
                <w:i/>
                <w:sz w:val="28"/>
                <w:szCs w:val="28"/>
              </w:rPr>
              <w:t xml:space="preserve">Неизвестно </w:t>
            </w:r>
          </w:p>
        </w:tc>
      </w:tr>
      <w:tr w:rsidR="0004701B" w:rsidRPr="00687572" w14:paraId="21F20191" w14:textId="77777777" w:rsidTr="00607114">
        <w:trPr>
          <w:trHeight w:val="20"/>
        </w:trPr>
        <w:tc>
          <w:tcPr>
            <w:tcW w:w="1843" w:type="dxa"/>
          </w:tcPr>
          <w:p w14:paraId="7E4F703C"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крови и лимфатической системы</w:t>
            </w:r>
          </w:p>
        </w:tc>
        <w:tc>
          <w:tcPr>
            <w:tcW w:w="2038" w:type="dxa"/>
          </w:tcPr>
          <w:p w14:paraId="4891B86A"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снижение гемоглобина, снижение гематокрита, уменьшение количества лейкоцитов</w:t>
            </w:r>
          </w:p>
        </w:tc>
        <w:tc>
          <w:tcPr>
            <w:tcW w:w="3349" w:type="dxa"/>
          </w:tcPr>
          <w:p w14:paraId="195C95D9"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анемия, тромбоцитопения, коагулопатия, лейкопения, увеличение количества эозинофилов, уменьшение количества тромбоцитов, увеличение количества тромбоцитов, уменьшение количества лимфоцитов, увеличение количества лейкоцитов, уменьшение количества нейтрофилов</w:t>
            </w:r>
          </w:p>
        </w:tc>
        <w:tc>
          <w:tcPr>
            <w:tcW w:w="2126" w:type="dxa"/>
          </w:tcPr>
          <w:p w14:paraId="0FED696C"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4B09522B" w14:textId="77777777" w:rsidTr="00607114">
        <w:trPr>
          <w:trHeight w:val="20"/>
        </w:trPr>
        <w:tc>
          <w:tcPr>
            <w:tcW w:w="1843" w:type="dxa"/>
          </w:tcPr>
          <w:p w14:paraId="5C32ED64"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обмена веществ и питания</w:t>
            </w:r>
          </w:p>
        </w:tc>
        <w:tc>
          <w:tcPr>
            <w:tcW w:w="2038" w:type="dxa"/>
          </w:tcPr>
          <w:p w14:paraId="28CA0DBD"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гипокалиемия</w:t>
            </w:r>
          </w:p>
        </w:tc>
        <w:tc>
          <w:tcPr>
            <w:tcW w:w="3349" w:type="dxa"/>
          </w:tcPr>
          <w:p w14:paraId="6A7DE187"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гиперволемия, гипомагниемия, анорексия, электролитный дисбаланс, гипергликемия, гипокальциемия, метаболический ацидоз</w:t>
            </w:r>
          </w:p>
        </w:tc>
        <w:tc>
          <w:tcPr>
            <w:tcW w:w="2126" w:type="dxa"/>
          </w:tcPr>
          <w:p w14:paraId="7A41D806"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25D7B3FC" w14:textId="77777777" w:rsidTr="00607114">
        <w:trPr>
          <w:trHeight w:val="20"/>
        </w:trPr>
        <w:tc>
          <w:tcPr>
            <w:tcW w:w="1843" w:type="dxa"/>
          </w:tcPr>
          <w:p w14:paraId="3FA21C5B"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b/>
                <w:i/>
                <w:sz w:val="28"/>
                <w:szCs w:val="28"/>
              </w:rPr>
              <w:t>Психические расстройства</w:t>
            </w:r>
          </w:p>
        </w:tc>
        <w:tc>
          <w:tcPr>
            <w:tcW w:w="2038" w:type="dxa"/>
          </w:tcPr>
          <w:p w14:paraId="492695A4" w14:textId="77777777" w:rsidR="0004701B" w:rsidRPr="00687572" w:rsidRDefault="0004701B" w:rsidP="00607114">
            <w:pPr>
              <w:spacing w:line="216" w:lineRule="auto"/>
              <w:ind w:left="49" w:right="120"/>
              <w:jc w:val="both"/>
              <w:rPr>
                <w:rFonts w:ascii="Times New Roman" w:hAnsi="Times New Roman"/>
                <w:sz w:val="28"/>
                <w:szCs w:val="28"/>
              </w:rPr>
            </w:pPr>
          </w:p>
        </w:tc>
        <w:tc>
          <w:tcPr>
            <w:tcW w:w="3349" w:type="dxa"/>
          </w:tcPr>
          <w:p w14:paraId="68479276"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тревога, дезориентация, бессонница</w:t>
            </w:r>
          </w:p>
        </w:tc>
        <w:tc>
          <w:tcPr>
            <w:tcW w:w="2126" w:type="dxa"/>
          </w:tcPr>
          <w:p w14:paraId="1CCAA990"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2A905B08" w14:textId="77777777" w:rsidTr="00607114">
        <w:trPr>
          <w:trHeight w:val="20"/>
        </w:trPr>
        <w:tc>
          <w:tcPr>
            <w:tcW w:w="1843" w:type="dxa"/>
          </w:tcPr>
          <w:p w14:paraId="5F2086A3"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lastRenderedPageBreak/>
              <w:t>Нарушения со стороны нервной системы</w:t>
            </w:r>
          </w:p>
        </w:tc>
        <w:tc>
          <w:tcPr>
            <w:tcW w:w="2038" w:type="dxa"/>
          </w:tcPr>
          <w:p w14:paraId="7DDA0EFA"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головная боль</w:t>
            </w:r>
          </w:p>
        </w:tc>
        <w:tc>
          <w:tcPr>
            <w:tcW w:w="3349" w:type="dxa"/>
          </w:tcPr>
          <w:p w14:paraId="317D7F03"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головокружение, дисгевзия, парестезия, сонливость, тремор, гипестезия</w:t>
            </w:r>
          </w:p>
        </w:tc>
        <w:tc>
          <w:tcPr>
            <w:tcW w:w="2126" w:type="dxa"/>
          </w:tcPr>
          <w:p w14:paraId="367E6909"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4C4E4847" w14:textId="77777777" w:rsidTr="00607114">
        <w:trPr>
          <w:trHeight w:val="20"/>
        </w:trPr>
        <w:tc>
          <w:tcPr>
            <w:tcW w:w="1843" w:type="dxa"/>
          </w:tcPr>
          <w:p w14:paraId="7F0116CC"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зрения</w:t>
            </w:r>
          </w:p>
        </w:tc>
        <w:tc>
          <w:tcPr>
            <w:tcW w:w="2038" w:type="dxa"/>
          </w:tcPr>
          <w:p w14:paraId="67D48898" w14:textId="77777777" w:rsidR="0004701B" w:rsidRPr="00687572" w:rsidRDefault="0004701B" w:rsidP="00607114">
            <w:pPr>
              <w:spacing w:line="216" w:lineRule="auto"/>
              <w:ind w:left="49" w:right="120"/>
              <w:jc w:val="both"/>
              <w:rPr>
                <w:rFonts w:ascii="Times New Roman" w:hAnsi="Times New Roman"/>
                <w:sz w:val="28"/>
                <w:szCs w:val="28"/>
              </w:rPr>
            </w:pPr>
          </w:p>
        </w:tc>
        <w:tc>
          <w:tcPr>
            <w:tcW w:w="3349" w:type="dxa"/>
          </w:tcPr>
          <w:p w14:paraId="5F890C0E"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желтушность склер глаз, нечеткость зрения, отек век, повышенное слезотечение</w:t>
            </w:r>
          </w:p>
        </w:tc>
        <w:tc>
          <w:tcPr>
            <w:tcW w:w="2126" w:type="dxa"/>
          </w:tcPr>
          <w:p w14:paraId="27A050F3"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1132FB74" w14:textId="77777777" w:rsidTr="00607114">
        <w:trPr>
          <w:trHeight w:val="20"/>
        </w:trPr>
        <w:tc>
          <w:tcPr>
            <w:tcW w:w="1843" w:type="dxa"/>
          </w:tcPr>
          <w:p w14:paraId="7237A900"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сердца</w:t>
            </w:r>
          </w:p>
        </w:tc>
        <w:tc>
          <w:tcPr>
            <w:tcW w:w="2038" w:type="dxa"/>
          </w:tcPr>
          <w:p w14:paraId="5C5B63B4" w14:textId="77777777" w:rsidR="0004701B" w:rsidRPr="00687572" w:rsidRDefault="0004701B" w:rsidP="00607114">
            <w:pPr>
              <w:spacing w:line="216" w:lineRule="auto"/>
              <w:ind w:left="49" w:right="120"/>
              <w:jc w:val="both"/>
              <w:rPr>
                <w:rFonts w:ascii="Times New Roman" w:hAnsi="Times New Roman"/>
                <w:sz w:val="28"/>
                <w:szCs w:val="28"/>
              </w:rPr>
            </w:pPr>
          </w:p>
        </w:tc>
        <w:tc>
          <w:tcPr>
            <w:tcW w:w="3349" w:type="dxa"/>
          </w:tcPr>
          <w:p w14:paraId="390CD03A"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учащенное сердцебиение, тахикардия, аритмия, фибрилляция предсердий, застойная сердечная недостаточность</w:t>
            </w:r>
          </w:p>
        </w:tc>
        <w:tc>
          <w:tcPr>
            <w:tcW w:w="2126" w:type="dxa"/>
          </w:tcPr>
          <w:p w14:paraId="3B9D00C3"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6E116CFB" w14:textId="77777777" w:rsidTr="00607114">
        <w:trPr>
          <w:trHeight w:val="20"/>
        </w:trPr>
        <w:tc>
          <w:tcPr>
            <w:tcW w:w="1843" w:type="dxa"/>
          </w:tcPr>
          <w:p w14:paraId="6BE556F9"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сосудов</w:t>
            </w:r>
          </w:p>
        </w:tc>
        <w:tc>
          <w:tcPr>
            <w:tcW w:w="2038" w:type="dxa"/>
          </w:tcPr>
          <w:p w14:paraId="58467362"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флебит</w:t>
            </w:r>
          </w:p>
        </w:tc>
        <w:tc>
          <w:tcPr>
            <w:tcW w:w="3349" w:type="dxa"/>
          </w:tcPr>
          <w:p w14:paraId="21C56A38"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тромбофлебит, гиперемия, приливы, гипертония, гипотония</w:t>
            </w:r>
          </w:p>
        </w:tc>
        <w:tc>
          <w:tcPr>
            <w:tcW w:w="2126" w:type="dxa"/>
          </w:tcPr>
          <w:p w14:paraId="2D88A43C"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31830339" w14:textId="77777777" w:rsidTr="00607114">
        <w:trPr>
          <w:trHeight w:val="1739"/>
        </w:trPr>
        <w:tc>
          <w:tcPr>
            <w:tcW w:w="1843" w:type="dxa"/>
          </w:tcPr>
          <w:p w14:paraId="2D8EDB8F"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дыхательной системы, органов грудной клетки и средостения</w:t>
            </w:r>
          </w:p>
        </w:tc>
        <w:tc>
          <w:tcPr>
            <w:tcW w:w="2038" w:type="dxa"/>
          </w:tcPr>
          <w:p w14:paraId="5C89D8E3"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одышка</w:t>
            </w:r>
          </w:p>
        </w:tc>
        <w:tc>
          <w:tcPr>
            <w:tcW w:w="3349" w:type="dxa"/>
          </w:tcPr>
          <w:p w14:paraId="2F52516F"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заложенность носа, фаринголарингеальная боль, тахипноэ, бронхоспазм, кашель, ночная пароксизмальная одышка, гипоксия, хрипы, свистящее дыхание</w:t>
            </w:r>
          </w:p>
        </w:tc>
        <w:tc>
          <w:tcPr>
            <w:tcW w:w="2126" w:type="dxa"/>
          </w:tcPr>
          <w:p w14:paraId="040AE86B"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3A5B4BAD" w14:textId="77777777" w:rsidTr="00607114">
        <w:trPr>
          <w:trHeight w:val="20"/>
        </w:trPr>
        <w:tc>
          <w:tcPr>
            <w:tcW w:w="1843" w:type="dxa"/>
          </w:tcPr>
          <w:p w14:paraId="0A1F7DF3"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желудочно-кишечного тракта</w:t>
            </w:r>
          </w:p>
        </w:tc>
        <w:tc>
          <w:tcPr>
            <w:tcW w:w="2038" w:type="dxa"/>
          </w:tcPr>
          <w:p w14:paraId="752F7764"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тошнота, диарея, рвота</w:t>
            </w:r>
          </w:p>
        </w:tc>
        <w:tc>
          <w:tcPr>
            <w:tcW w:w="3349" w:type="dxa"/>
          </w:tcPr>
          <w:p w14:paraId="3904264C"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боль в животе, боль в верхней части живота, сухость во рту, диспепсия, дискомфорт в желудке, вздутие живота, асцит, запор, дисфагия, метеоризм</w:t>
            </w:r>
          </w:p>
        </w:tc>
        <w:tc>
          <w:tcPr>
            <w:tcW w:w="2126" w:type="dxa"/>
          </w:tcPr>
          <w:p w14:paraId="6F3E0BE5"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6B6B1767" w14:textId="77777777" w:rsidTr="00607114">
        <w:trPr>
          <w:trHeight w:val="20"/>
        </w:trPr>
        <w:tc>
          <w:tcPr>
            <w:tcW w:w="1843" w:type="dxa"/>
          </w:tcPr>
          <w:p w14:paraId="5B72EC82"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печени и желчевыводящих путей</w:t>
            </w:r>
          </w:p>
        </w:tc>
        <w:tc>
          <w:tcPr>
            <w:tcW w:w="2038" w:type="dxa"/>
          </w:tcPr>
          <w:p w14:paraId="62E82E10"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 xml:space="preserve">Повышение печеночных проб (аланин-аминотрансфераза (АЛТ), аспартат-аминотрансфераза (АСТ), щелочная фосфатаза крови, конъюгированный билирубин, билирубин </w:t>
            </w:r>
            <w:r w:rsidRPr="00687572">
              <w:rPr>
                <w:rFonts w:ascii="Times New Roman" w:hAnsi="Times New Roman"/>
                <w:sz w:val="28"/>
                <w:szCs w:val="28"/>
              </w:rPr>
              <w:lastRenderedPageBreak/>
              <w:t>крови)</w:t>
            </w:r>
          </w:p>
        </w:tc>
        <w:tc>
          <w:tcPr>
            <w:tcW w:w="3349" w:type="dxa"/>
          </w:tcPr>
          <w:p w14:paraId="003BF8CD"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lastRenderedPageBreak/>
              <w:t>холестаз, гепатомегалия, гипербилирубинемия, желтуха, нарушения функции печени, гепатотоксичность, печеночные расстройства, повышенная гамма-глютамилтрансфераза</w:t>
            </w:r>
          </w:p>
        </w:tc>
        <w:tc>
          <w:tcPr>
            <w:tcW w:w="2126" w:type="dxa"/>
          </w:tcPr>
          <w:p w14:paraId="17C493E9"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1DD4F136" w14:textId="77777777" w:rsidTr="00607114">
        <w:trPr>
          <w:trHeight w:val="20"/>
        </w:trPr>
        <w:tc>
          <w:tcPr>
            <w:tcW w:w="1843" w:type="dxa"/>
          </w:tcPr>
          <w:p w14:paraId="066DB6C0"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кожи и подкожной клетчатки</w:t>
            </w:r>
          </w:p>
        </w:tc>
        <w:tc>
          <w:tcPr>
            <w:tcW w:w="2038" w:type="dxa"/>
          </w:tcPr>
          <w:p w14:paraId="3A0891D5" w14:textId="77777777" w:rsidR="0004701B" w:rsidRPr="00687572" w:rsidRDefault="0004701B" w:rsidP="00607114">
            <w:pPr>
              <w:spacing w:line="216" w:lineRule="auto"/>
              <w:ind w:left="49" w:right="53"/>
              <w:jc w:val="both"/>
              <w:rPr>
                <w:rFonts w:ascii="Times New Roman" w:hAnsi="Times New Roman"/>
                <w:sz w:val="28"/>
                <w:szCs w:val="28"/>
              </w:rPr>
            </w:pPr>
            <w:r w:rsidRPr="00687572">
              <w:rPr>
                <w:rFonts w:ascii="Times New Roman" w:hAnsi="Times New Roman"/>
                <w:sz w:val="28"/>
                <w:szCs w:val="28"/>
              </w:rPr>
              <w:t>сыпь, зуд, эритема, гипергидроз</w:t>
            </w:r>
          </w:p>
        </w:tc>
        <w:tc>
          <w:tcPr>
            <w:tcW w:w="3349" w:type="dxa"/>
          </w:tcPr>
          <w:p w14:paraId="75CF670D" w14:textId="772FA41F"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мультиформная эритема, макулярная сыпь, пятнисто-папулёзная сыпь, зудящая сыпь, крапивница, аллергический дерматит, генерализованный зуд, эритематозная сыпь, генерализованная сыпь, кореподобная сыпь, повреждение кожи</w:t>
            </w:r>
          </w:p>
        </w:tc>
        <w:tc>
          <w:tcPr>
            <w:tcW w:w="2126" w:type="dxa"/>
          </w:tcPr>
          <w:p w14:paraId="30B15349"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Токсический эпидер-мальный некролиз и синдром Стивенса-Джонсона (см. раздел «Особые указания»)</w:t>
            </w:r>
          </w:p>
        </w:tc>
      </w:tr>
      <w:tr w:rsidR="0004701B" w:rsidRPr="00687572" w14:paraId="3480311C" w14:textId="77777777" w:rsidTr="00607114">
        <w:trPr>
          <w:trHeight w:val="20"/>
        </w:trPr>
        <w:tc>
          <w:tcPr>
            <w:tcW w:w="1843" w:type="dxa"/>
          </w:tcPr>
          <w:p w14:paraId="0D36685B"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костно-мышечной и соединительной ткани</w:t>
            </w:r>
          </w:p>
        </w:tc>
        <w:tc>
          <w:tcPr>
            <w:tcW w:w="2038" w:type="dxa"/>
          </w:tcPr>
          <w:p w14:paraId="7B4E2653"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артралгия</w:t>
            </w:r>
          </w:p>
        </w:tc>
        <w:tc>
          <w:tcPr>
            <w:tcW w:w="3349" w:type="dxa"/>
          </w:tcPr>
          <w:p w14:paraId="002131FF"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боль в спине, боль в конечностях, боль в костях, мышечная слабость, миалгия</w:t>
            </w:r>
          </w:p>
        </w:tc>
        <w:tc>
          <w:tcPr>
            <w:tcW w:w="2126" w:type="dxa"/>
          </w:tcPr>
          <w:p w14:paraId="1487B039"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4C43D0EC" w14:textId="77777777" w:rsidTr="00607114">
        <w:trPr>
          <w:trHeight w:val="20"/>
        </w:trPr>
        <w:tc>
          <w:tcPr>
            <w:tcW w:w="1843" w:type="dxa"/>
          </w:tcPr>
          <w:p w14:paraId="34E8BC12"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Нарушения со стороны почек и мочевыводящих путей</w:t>
            </w:r>
          </w:p>
        </w:tc>
        <w:tc>
          <w:tcPr>
            <w:tcW w:w="2038" w:type="dxa"/>
          </w:tcPr>
          <w:p w14:paraId="5F83D3BB" w14:textId="77777777" w:rsidR="0004701B" w:rsidRPr="00687572" w:rsidRDefault="0004701B" w:rsidP="00607114">
            <w:pPr>
              <w:spacing w:line="216" w:lineRule="auto"/>
              <w:ind w:left="49" w:right="120"/>
              <w:jc w:val="both"/>
              <w:rPr>
                <w:rFonts w:ascii="Times New Roman" w:hAnsi="Times New Roman"/>
                <w:sz w:val="28"/>
                <w:szCs w:val="28"/>
              </w:rPr>
            </w:pPr>
          </w:p>
        </w:tc>
        <w:tc>
          <w:tcPr>
            <w:tcW w:w="3349" w:type="dxa"/>
          </w:tcPr>
          <w:p w14:paraId="5F5E9AED"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почечная недостаточность, острая почечная недостаточность</w:t>
            </w:r>
          </w:p>
        </w:tc>
        <w:tc>
          <w:tcPr>
            <w:tcW w:w="2126" w:type="dxa"/>
          </w:tcPr>
          <w:p w14:paraId="4B6A68D0"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50C109F6" w14:textId="77777777" w:rsidTr="00607114">
        <w:trPr>
          <w:trHeight w:val="275"/>
        </w:trPr>
        <w:tc>
          <w:tcPr>
            <w:tcW w:w="1843" w:type="dxa"/>
          </w:tcPr>
          <w:p w14:paraId="60B2D403"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b/>
                <w:i/>
                <w:sz w:val="28"/>
                <w:szCs w:val="28"/>
              </w:rPr>
              <w:t>Осложнения общего характера и реакции в месте введения</w:t>
            </w:r>
          </w:p>
        </w:tc>
        <w:tc>
          <w:tcPr>
            <w:tcW w:w="2038" w:type="dxa"/>
          </w:tcPr>
          <w:p w14:paraId="477C4E9B"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гипертермия, озноб, зуд в месте инфузии</w:t>
            </w:r>
          </w:p>
        </w:tc>
        <w:tc>
          <w:tcPr>
            <w:tcW w:w="3349" w:type="dxa"/>
          </w:tcPr>
          <w:p w14:paraId="06E07025"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 xml:space="preserve">боль, боль в месте введения катетера, утомляемость, озноб, жар, покраснение в месте инфузии, уплотнение в месте инфузии, боль в месте инфузии, припухлость в месте инфузии, флебит в месте инъекции, периферический отек, болезненность, дискомфорт в груди, боль в груди, отек лица, ощущение изменения температуры тела, уплотнение, кровоизлияние в месте инфузии, раздражение в месте инфузии, флебит в месте инфузии, сыпь в месте инфузии, крапивница в месте инфузии, покраснение в месте инъекции, отек в месте инъекции, боль в </w:t>
            </w:r>
            <w:r w:rsidRPr="00687572">
              <w:rPr>
                <w:rFonts w:ascii="Times New Roman" w:hAnsi="Times New Roman"/>
                <w:sz w:val="28"/>
                <w:szCs w:val="28"/>
              </w:rPr>
              <w:lastRenderedPageBreak/>
              <w:t>месте инъекции, опухание в месте инъекции, недомогание, отек</w:t>
            </w:r>
          </w:p>
        </w:tc>
        <w:tc>
          <w:tcPr>
            <w:tcW w:w="2126" w:type="dxa"/>
          </w:tcPr>
          <w:p w14:paraId="6B3AFB21" w14:textId="77777777" w:rsidR="0004701B" w:rsidRPr="00687572" w:rsidRDefault="0004701B" w:rsidP="00607114">
            <w:pPr>
              <w:spacing w:line="216" w:lineRule="auto"/>
              <w:ind w:left="49" w:right="120"/>
              <w:jc w:val="both"/>
              <w:rPr>
                <w:rFonts w:ascii="Times New Roman" w:hAnsi="Times New Roman"/>
                <w:sz w:val="28"/>
                <w:szCs w:val="28"/>
              </w:rPr>
            </w:pPr>
          </w:p>
        </w:tc>
      </w:tr>
      <w:tr w:rsidR="0004701B" w:rsidRPr="00687572" w14:paraId="4FA194BE" w14:textId="77777777" w:rsidTr="00607114">
        <w:trPr>
          <w:trHeight w:val="20"/>
        </w:trPr>
        <w:tc>
          <w:tcPr>
            <w:tcW w:w="1843" w:type="dxa"/>
          </w:tcPr>
          <w:p w14:paraId="18A80EA4"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b/>
                <w:i/>
                <w:sz w:val="28"/>
                <w:szCs w:val="28"/>
              </w:rPr>
              <w:t>Лабораторныеисследования</w:t>
            </w:r>
          </w:p>
        </w:tc>
        <w:tc>
          <w:tcPr>
            <w:tcW w:w="2038" w:type="dxa"/>
          </w:tcPr>
          <w:p w14:paraId="02466F1E" w14:textId="77777777" w:rsidR="0004701B" w:rsidRPr="00687572" w:rsidRDefault="0004701B" w:rsidP="00607114">
            <w:pPr>
              <w:spacing w:line="216" w:lineRule="auto"/>
              <w:ind w:left="49" w:right="120"/>
              <w:jc w:val="both"/>
              <w:rPr>
                <w:rFonts w:ascii="Times New Roman" w:hAnsi="Times New Roman"/>
                <w:sz w:val="28"/>
                <w:szCs w:val="28"/>
              </w:rPr>
            </w:pPr>
            <w:r w:rsidRPr="00687572">
              <w:rPr>
                <w:rFonts w:ascii="Times New Roman" w:hAnsi="Times New Roman"/>
                <w:sz w:val="28"/>
                <w:szCs w:val="28"/>
              </w:rPr>
              <w:t>Снижение уровня калия в крови, снижение уровня альбумина в крови</w:t>
            </w:r>
          </w:p>
        </w:tc>
        <w:tc>
          <w:tcPr>
            <w:tcW w:w="3349" w:type="dxa"/>
          </w:tcPr>
          <w:p w14:paraId="63217497" w14:textId="77777777" w:rsidR="0004701B" w:rsidRPr="00687572" w:rsidRDefault="0004701B" w:rsidP="00607114">
            <w:pPr>
              <w:spacing w:line="216" w:lineRule="auto"/>
              <w:ind w:left="49"/>
              <w:jc w:val="both"/>
              <w:rPr>
                <w:rFonts w:ascii="Times New Roman" w:hAnsi="Times New Roman"/>
                <w:sz w:val="28"/>
                <w:szCs w:val="28"/>
              </w:rPr>
            </w:pPr>
            <w:r w:rsidRPr="00687572">
              <w:rPr>
                <w:rFonts w:ascii="Times New Roman" w:hAnsi="Times New Roman"/>
                <w:sz w:val="28"/>
                <w:szCs w:val="28"/>
              </w:rPr>
              <w:t xml:space="preserve">повышение креатинина крови, положительный анализ на эритроциты в моче, снижение уровня общего белка, наличие белка в моче, удлинение протромбинового времени, укорочение протромбино- вого времени, снижение уровня натрия в крови, повышение уровня натрия в крови, понижение уровня кальция в крови, повышение кальция в крови, понижение уровня хлорида натрия в крови, повышение уровня глюкозы в крови, понижение уровня магния в крови, понижение уровня фосфора в крови, повышение уровня фосфора в крови, повышение уровня мочевины в крови, удлинение активированного частичного тромбопластинового времени, понижение уровня бикарбоната в крови, повышение уровня хлорида натрия в крови, повышение уровня калия в крови, повышение артериального давление, понижение уровня мочевой кислоты в крови, наличие крови в моче, ненормальные дыхательные шумы, понижение уровня углекислого газа, повышение уровня иммунодепрессантов, повышение </w:t>
            </w:r>
            <w:r w:rsidRPr="00687572">
              <w:rPr>
                <w:rFonts w:ascii="Times New Roman" w:hAnsi="Times New Roman"/>
                <w:sz w:val="28"/>
                <w:szCs w:val="28"/>
              </w:rPr>
              <w:lastRenderedPageBreak/>
              <w:t>международного нормализованного отношения, мочевые цилиндры, положительный анализ на лейкоциты в моче и повышение pH мочи.</w:t>
            </w:r>
          </w:p>
        </w:tc>
        <w:tc>
          <w:tcPr>
            <w:tcW w:w="2126" w:type="dxa"/>
          </w:tcPr>
          <w:p w14:paraId="1582A285" w14:textId="77777777" w:rsidR="0004701B" w:rsidRPr="00687572" w:rsidRDefault="0004701B" w:rsidP="00607114">
            <w:pPr>
              <w:spacing w:line="216" w:lineRule="auto"/>
              <w:ind w:left="49" w:right="120"/>
              <w:jc w:val="both"/>
              <w:rPr>
                <w:rFonts w:ascii="Times New Roman" w:hAnsi="Times New Roman"/>
                <w:sz w:val="28"/>
                <w:szCs w:val="28"/>
              </w:rPr>
            </w:pPr>
          </w:p>
        </w:tc>
      </w:tr>
    </w:tbl>
    <w:p w14:paraId="04D4215B" w14:textId="77777777" w:rsidR="0004701B" w:rsidRPr="00687572" w:rsidRDefault="0004701B" w:rsidP="00607114">
      <w:pPr>
        <w:spacing w:after="0" w:line="240" w:lineRule="auto"/>
        <w:jc w:val="both"/>
        <w:rPr>
          <w:rFonts w:ascii="Times New Roman" w:hAnsi="Times New Roman"/>
          <w:i/>
          <w:iCs/>
          <w:sz w:val="28"/>
          <w:szCs w:val="28"/>
        </w:rPr>
      </w:pPr>
      <w:r w:rsidRPr="00687572">
        <w:rPr>
          <w:rFonts w:ascii="Times New Roman" w:hAnsi="Times New Roman"/>
          <w:i/>
          <w:iCs/>
          <w:sz w:val="28"/>
          <w:szCs w:val="28"/>
        </w:rPr>
        <w:t>Дети</w:t>
      </w:r>
    </w:p>
    <w:p w14:paraId="59105BDA" w14:textId="77777777" w:rsidR="0004701B" w:rsidRPr="00687572" w:rsidRDefault="0004701B" w:rsidP="0004701B">
      <w:pPr>
        <w:spacing w:line="216" w:lineRule="auto"/>
        <w:ind w:right="-20"/>
        <w:jc w:val="both"/>
        <w:rPr>
          <w:rFonts w:ascii="Times New Roman" w:hAnsi="Times New Roman"/>
          <w:i/>
          <w:sz w:val="28"/>
          <w:szCs w:val="28"/>
        </w:rPr>
      </w:pPr>
      <w:r w:rsidRPr="00687572">
        <w:rPr>
          <w:rFonts w:ascii="Times New Roman" w:hAnsi="Times New Roman"/>
          <w:i/>
          <w:position w:val="-1"/>
          <w:sz w:val="28"/>
          <w:szCs w:val="28"/>
        </w:rPr>
        <w:t>Нежелательные реакции у детей</w:t>
      </w:r>
    </w:p>
    <w:tbl>
      <w:tblPr>
        <w:tblW w:w="0" w:type="auto"/>
        <w:tblInd w:w="5" w:type="dxa"/>
        <w:tblLayout w:type="fixed"/>
        <w:tblCellMar>
          <w:left w:w="0" w:type="dxa"/>
          <w:right w:w="0" w:type="dxa"/>
        </w:tblCellMar>
        <w:tblLook w:val="01E0" w:firstRow="1" w:lastRow="1" w:firstColumn="1" w:lastColumn="1" w:noHBand="0" w:noVBand="0"/>
      </w:tblPr>
      <w:tblGrid>
        <w:gridCol w:w="3119"/>
        <w:gridCol w:w="1417"/>
        <w:gridCol w:w="4678"/>
      </w:tblGrid>
      <w:tr w:rsidR="0004701B" w:rsidRPr="00687572" w14:paraId="55A20281"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63A09216"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Системные и органные нарушения</w:t>
            </w:r>
          </w:p>
        </w:tc>
        <w:tc>
          <w:tcPr>
            <w:tcW w:w="1417" w:type="dxa"/>
            <w:tcBorders>
              <w:top w:val="single" w:sz="4" w:space="0" w:color="000000"/>
              <w:left w:val="single" w:sz="4" w:space="0" w:color="000000"/>
              <w:bottom w:val="single" w:sz="4" w:space="0" w:color="000000"/>
              <w:right w:val="single" w:sz="4" w:space="0" w:color="000000"/>
            </w:tcBorders>
          </w:tcPr>
          <w:p w14:paraId="2211324E"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Очень часто (≥1/10)</w:t>
            </w:r>
          </w:p>
        </w:tc>
        <w:tc>
          <w:tcPr>
            <w:tcW w:w="4678" w:type="dxa"/>
            <w:tcBorders>
              <w:top w:val="single" w:sz="4" w:space="0" w:color="000000"/>
              <w:left w:val="single" w:sz="4" w:space="0" w:color="000000"/>
              <w:bottom w:val="single" w:sz="4" w:space="0" w:color="000000"/>
              <w:right w:val="single" w:sz="4" w:space="0" w:color="000000"/>
            </w:tcBorders>
          </w:tcPr>
          <w:p w14:paraId="08C3ABC9"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Часто (от ≥1/100 до &lt;1/10)</w:t>
            </w:r>
          </w:p>
        </w:tc>
      </w:tr>
      <w:tr w:rsidR="0004701B" w:rsidRPr="00687572" w14:paraId="69B38924" w14:textId="77777777" w:rsidTr="006C7D08">
        <w:trPr>
          <w:trHeight w:val="1166"/>
        </w:trPr>
        <w:tc>
          <w:tcPr>
            <w:tcW w:w="3119" w:type="dxa"/>
            <w:tcBorders>
              <w:top w:val="single" w:sz="4" w:space="0" w:color="000000"/>
              <w:left w:val="single" w:sz="4" w:space="0" w:color="000000"/>
              <w:bottom w:val="single" w:sz="4" w:space="0" w:color="000000"/>
              <w:right w:val="single" w:sz="4" w:space="0" w:color="000000"/>
            </w:tcBorders>
          </w:tcPr>
          <w:p w14:paraId="4346E974"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крови и лимфатической системы</w:t>
            </w:r>
          </w:p>
        </w:tc>
        <w:tc>
          <w:tcPr>
            <w:tcW w:w="1417" w:type="dxa"/>
            <w:tcBorders>
              <w:top w:val="single" w:sz="4" w:space="0" w:color="000000"/>
              <w:left w:val="single" w:sz="4" w:space="0" w:color="000000"/>
              <w:bottom w:val="single" w:sz="4" w:space="0" w:color="000000"/>
              <w:right w:val="single" w:sz="4" w:space="0" w:color="000000"/>
            </w:tcBorders>
          </w:tcPr>
          <w:p w14:paraId="1276D1C6"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735A491B"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Увеличение количества эозинофилов</w:t>
            </w:r>
          </w:p>
        </w:tc>
      </w:tr>
      <w:tr w:rsidR="0004701B" w:rsidRPr="00687572" w14:paraId="63C631E2"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27A11F7E"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нервной системы</w:t>
            </w:r>
          </w:p>
        </w:tc>
        <w:tc>
          <w:tcPr>
            <w:tcW w:w="1417" w:type="dxa"/>
            <w:tcBorders>
              <w:top w:val="single" w:sz="4" w:space="0" w:color="000000"/>
              <w:left w:val="single" w:sz="4" w:space="0" w:color="000000"/>
              <w:bottom w:val="single" w:sz="4" w:space="0" w:color="000000"/>
              <w:right w:val="single" w:sz="4" w:space="0" w:color="000000"/>
            </w:tcBorders>
          </w:tcPr>
          <w:p w14:paraId="6B41F073"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5BB25726"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головная боль</w:t>
            </w:r>
          </w:p>
        </w:tc>
      </w:tr>
      <w:tr w:rsidR="0004701B" w:rsidRPr="00687572" w14:paraId="50046FC1"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45748637"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сердца</w:t>
            </w:r>
          </w:p>
        </w:tc>
        <w:tc>
          <w:tcPr>
            <w:tcW w:w="1417" w:type="dxa"/>
            <w:tcBorders>
              <w:top w:val="single" w:sz="4" w:space="0" w:color="000000"/>
              <w:left w:val="single" w:sz="4" w:space="0" w:color="000000"/>
              <w:bottom w:val="single" w:sz="4" w:space="0" w:color="000000"/>
              <w:right w:val="single" w:sz="4" w:space="0" w:color="000000"/>
            </w:tcBorders>
          </w:tcPr>
          <w:p w14:paraId="224DC107"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1BF2E33E"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тахикардия</w:t>
            </w:r>
          </w:p>
        </w:tc>
      </w:tr>
      <w:tr w:rsidR="0004701B" w:rsidRPr="00687572" w14:paraId="0F0FEFDF" w14:textId="77777777" w:rsidTr="006C7D08">
        <w:trPr>
          <w:trHeight w:val="641"/>
        </w:trPr>
        <w:tc>
          <w:tcPr>
            <w:tcW w:w="3119" w:type="dxa"/>
            <w:tcBorders>
              <w:top w:val="single" w:sz="4" w:space="0" w:color="000000"/>
              <w:left w:val="single" w:sz="4" w:space="0" w:color="000000"/>
              <w:bottom w:val="single" w:sz="4" w:space="0" w:color="000000"/>
              <w:right w:val="single" w:sz="4" w:space="0" w:color="000000"/>
            </w:tcBorders>
          </w:tcPr>
          <w:p w14:paraId="55401BB9"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сосудов</w:t>
            </w:r>
          </w:p>
        </w:tc>
        <w:tc>
          <w:tcPr>
            <w:tcW w:w="1417" w:type="dxa"/>
            <w:tcBorders>
              <w:top w:val="single" w:sz="4" w:space="0" w:color="000000"/>
              <w:left w:val="single" w:sz="4" w:space="0" w:color="000000"/>
              <w:bottom w:val="single" w:sz="4" w:space="0" w:color="000000"/>
              <w:right w:val="single" w:sz="4" w:space="0" w:color="000000"/>
            </w:tcBorders>
          </w:tcPr>
          <w:p w14:paraId="17747588"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69CD9667"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гиперемия, гипотония</w:t>
            </w:r>
          </w:p>
        </w:tc>
      </w:tr>
      <w:tr w:rsidR="0004701B" w:rsidRPr="00687572" w14:paraId="072C6373" w14:textId="77777777" w:rsidTr="006C7D08">
        <w:trPr>
          <w:trHeight w:val="1120"/>
        </w:trPr>
        <w:tc>
          <w:tcPr>
            <w:tcW w:w="3119" w:type="dxa"/>
            <w:tcBorders>
              <w:top w:val="single" w:sz="4" w:space="0" w:color="000000"/>
              <w:left w:val="single" w:sz="4" w:space="0" w:color="000000"/>
              <w:bottom w:val="single" w:sz="4" w:space="0" w:color="000000"/>
              <w:right w:val="single" w:sz="4" w:space="0" w:color="000000"/>
            </w:tcBorders>
          </w:tcPr>
          <w:p w14:paraId="7171FA8D"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печени и желчевыводящих путей</w:t>
            </w:r>
          </w:p>
        </w:tc>
        <w:tc>
          <w:tcPr>
            <w:tcW w:w="1417" w:type="dxa"/>
            <w:tcBorders>
              <w:top w:val="single" w:sz="4" w:space="0" w:color="000000"/>
              <w:left w:val="single" w:sz="4" w:space="0" w:color="000000"/>
              <w:bottom w:val="single" w:sz="4" w:space="0" w:color="000000"/>
              <w:right w:val="single" w:sz="4" w:space="0" w:color="000000"/>
            </w:tcBorders>
          </w:tcPr>
          <w:p w14:paraId="3CA5EA6F"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441F7DDD"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Повышение активности печеночных ферментов (AЛT, AСT)</w:t>
            </w:r>
          </w:p>
        </w:tc>
      </w:tr>
      <w:tr w:rsidR="0004701B" w:rsidRPr="00687572" w14:paraId="581D8E43"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4CEFF64A"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Нарушения со стороны кожи и подкожной клетчатки</w:t>
            </w:r>
          </w:p>
        </w:tc>
        <w:tc>
          <w:tcPr>
            <w:tcW w:w="1417" w:type="dxa"/>
            <w:tcBorders>
              <w:top w:val="single" w:sz="4" w:space="0" w:color="000000"/>
              <w:left w:val="single" w:sz="4" w:space="0" w:color="000000"/>
              <w:bottom w:val="single" w:sz="4" w:space="0" w:color="000000"/>
              <w:right w:val="single" w:sz="4" w:space="0" w:color="000000"/>
            </w:tcBorders>
          </w:tcPr>
          <w:p w14:paraId="2CC8419C"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1989D783"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сыпь, зуд</w:t>
            </w:r>
          </w:p>
        </w:tc>
      </w:tr>
      <w:tr w:rsidR="0004701B" w:rsidRPr="00687572" w14:paraId="7A46B8BE"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00E779BC"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Осложнения общего характера и реакции в месте введения</w:t>
            </w:r>
          </w:p>
        </w:tc>
        <w:tc>
          <w:tcPr>
            <w:tcW w:w="1417" w:type="dxa"/>
            <w:tcBorders>
              <w:top w:val="single" w:sz="4" w:space="0" w:color="000000"/>
              <w:left w:val="single" w:sz="4" w:space="0" w:color="000000"/>
              <w:bottom w:val="single" w:sz="4" w:space="0" w:color="000000"/>
              <w:right w:val="single" w:sz="4" w:space="0" w:color="000000"/>
            </w:tcBorders>
          </w:tcPr>
          <w:p w14:paraId="4B35C929"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лихорадка</w:t>
            </w:r>
          </w:p>
        </w:tc>
        <w:tc>
          <w:tcPr>
            <w:tcW w:w="4678" w:type="dxa"/>
            <w:tcBorders>
              <w:top w:val="single" w:sz="4" w:space="0" w:color="000000"/>
              <w:left w:val="single" w:sz="4" w:space="0" w:color="000000"/>
              <w:bottom w:val="single" w:sz="4" w:space="0" w:color="000000"/>
              <w:right w:val="single" w:sz="4" w:space="0" w:color="000000"/>
            </w:tcBorders>
          </w:tcPr>
          <w:p w14:paraId="6972F5A5"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озноб, боль в месте введения катетера</w:t>
            </w:r>
          </w:p>
        </w:tc>
      </w:tr>
      <w:tr w:rsidR="0004701B" w:rsidRPr="00687572" w14:paraId="60F0E2E0" w14:textId="77777777" w:rsidTr="00EB3F16">
        <w:trPr>
          <w:trHeight w:val="20"/>
        </w:trPr>
        <w:tc>
          <w:tcPr>
            <w:tcW w:w="3119" w:type="dxa"/>
            <w:tcBorders>
              <w:top w:val="single" w:sz="4" w:space="0" w:color="000000"/>
              <w:left w:val="single" w:sz="4" w:space="0" w:color="000000"/>
              <w:bottom w:val="single" w:sz="4" w:space="0" w:color="000000"/>
              <w:right w:val="single" w:sz="4" w:space="0" w:color="000000"/>
            </w:tcBorders>
          </w:tcPr>
          <w:p w14:paraId="062A5041"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b/>
                <w:i/>
                <w:sz w:val="28"/>
                <w:szCs w:val="28"/>
              </w:rPr>
              <w:t>Лабораторные исследования</w:t>
            </w:r>
          </w:p>
        </w:tc>
        <w:tc>
          <w:tcPr>
            <w:tcW w:w="1417" w:type="dxa"/>
            <w:tcBorders>
              <w:top w:val="single" w:sz="4" w:space="0" w:color="000000"/>
              <w:left w:val="single" w:sz="4" w:space="0" w:color="000000"/>
              <w:bottom w:val="single" w:sz="4" w:space="0" w:color="000000"/>
              <w:right w:val="single" w:sz="4" w:space="0" w:color="000000"/>
            </w:tcBorders>
          </w:tcPr>
          <w:p w14:paraId="20559193" w14:textId="77777777" w:rsidR="0004701B" w:rsidRPr="00687572" w:rsidRDefault="0004701B" w:rsidP="00EB3F16">
            <w:pPr>
              <w:spacing w:line="216" w:lineRule="auto"/>
              <w:ind w:left="53" w:right="86"/>
              <w:rPr>
                <w:rFonts w:ascii="Times New Roman" w:hAnsi="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Pr>
          <w:p w14:paraId="0DBE8494" w14:textId="77777777" w:rsidR="0004701B" w:rsidRPr="00687572" w:rsidRDefault="0004701B" w:rsidP="00EB3F16">
            <w:pPr>
              <w:spacing w:line="216" w:lineRule="auto"/>
              <w:ind w:left="53" w:right="86"/>
              <w:rPr>
                <w:rFonts w:ascii="Times New Roman" w:hAnsi="Times New Roman"/>
                <w:sz w:val="28"/>
                <w:szCs w:val="28"/>
              </w:rPr>
            </w:pPr>
            <w:r w:rsidRPr="00687572">
              <w:rPr>
                <w:rFonts w:ascii="Times New Roman" w:hAnsi="Times New Roman"/>
                <w:sz w:val="28"/>
                <w:szCs w:val="28"/>
              </w:rPr>
              <w:t>Снижение уровня калия, гипомагниемия, повышение уровня глюкозы, снижение или повышение уровня фосфора</w:t>
            </w:r>
          </w:p>
        </w:tc>
      </w:tr>
    </w:tbl>
    <w:p w14:paraId="143CA5A9" w14:textId="77777777" w:rsidR="00827BB2" w:rsidRPr="00687572" w:rsidRDefault="00827BB2" w:rsidP="00844CE8">
      <w:pPr>
        <w:pStyle w:val="ac"/>
        <w:jc w:val="both"/>
        <w:rPr>
          <w:rFonts w:ascii="Times New Roman" w:hAnsi="Times New Roman"/>
          <w:i/>
          <w:color w:val="000000"/>
          <w:sz w:val="28"/>
          <w:szCs w:val="28"/>
        </w:rPr>
      </w:pPr>
      <w:r w:rsidRPr="00687572">
        <w:rPr>
          <w:rFonts w:ascii="Times New Roman" w:hAnsi="Times New Roman"/>
          <w:b/>
          <w:color w:val="000000"/>
          <w:sz w:val="28"/>
          <w:szCs w:val="28"/>
        </w:rPr>
        <w:t>П</w:t>
      </w:r>
      <w:r w:rsidR="00D93C80" w:rsidRPr="00687572">
        <w:rPr>
          <w:rFonts w:ascii="Times New Roman" w:hAnsi="Times New Roman"/>
          <w:b/>
          <w:color w:val="000000"/>
          <w:sz w:val="28"/>
          <w:szCs w:val="28"/>
        </w:rPr>
        <w:t xml:space="preserve">ри возникновении </w:t>
      </w:r>
      <w:r w:rsidR="006703A5" w:rsidRPr="00687572">
        <w:rPr>
          <w:rFonts w:ascii="Times New Roman" w:hAnsi="Times New Roman"/>
          <w:b/>
          <w:color w:val="000000"/>
          <w:sz w:val="28"/>
          <w:szCs w:val="28"/>
        </w:rPr>
        <w:t>нежелательных</w:t>
      </w:r>
      <w:r w:rsidR="00D93C80" w:rsidRPr="00687572">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687572">
        <w:rPr>
          <w:rFonts w:ascii="Times New Roman" w:hAnsi="Times New Roman"/>
          <w:b/>
          <w:color w:val="000000"/>
          <w:sz w:val="28"/>
          <w:szCs w:val="28"/>
        </w:rPr>
        <w:t xml:space="preserve"> </w:t>
      </w:r>
    </w:p>
    <w:p w14:paraId="75AC08A7" w14:textId="77777777" w:rsidR="006703A5" w:rsidRPr="00687572" w:rsidRDefault="006703A5" w:rsidP="005779DE">
      <w:pPr>
        <w:spacing w:after="0" w:line="240" w:lineRule="auto"/>
        <w:jc w:val="both"/>
        <w:rPr>
          <w:rFonts w:ascii="Times New Roman" w:hAnsi="Times New Roman"/>
          <w:sz w:val="28"/>
          <w:szCs w:val="28"/>
        </w:rPr>
      </w:pPr>
      <w:r w:rsidRPr="00687572">
        <w:rPr>
          <w:rFonts w:ascii="Times New Roman" w:hAnsi="Times New Roman"/>
          <w:sz w:val="28"/>
          <w:szCs w:val="28"/>
        </w:rPr>
        <w:lastRenderedPageBreak/>
        <w:t xml:space="preserve">РГП на ПХВ «Национальный Центр экспертизы лекарственных средств и медицинских изделий» </w:t>
      </w:r>
      <w:r w:rsidR="005779DE" w:rsidRPr="00687572">
        <w:rPr>
          <w:rFonts w:ascii="Times New Roman" w:hAnsi="Times New Roman"/>
          <w:sz w:val="28"/>
          <w:szCs w:val="28"/>
        </w:rPr>
        <w:t xml:space="preserve">Комитет </w:t>
      </w:r>
      <w:r w:rsidR="0004701B" w:rsidRPr="00687572">
        <w:rPr>
          <w:rFonts w:ascii="Times New Roman" w:hAnsi="Times New Roman"/>
          <w:sz w:val="28"/>
          <w:szCs w:val="28"/>
        </w:rPr>
        <w:t>медицинского и фармацевтического контроля</w:t>
      </w:r>
      <w:r w:rsidR="005779DE" w:rsidRPr="00687572">
        <w:rPr>
          <w:rFonts w:ascii="Times New Roman" w:hAnsi="Times New Roman"/>
          <w:sz w:val="28"/>
          <w:szCs w:val="28"/>
        </w:rPr>
        <w:t xml:space="preserve"> </w:t>
      </w:r>
      <w:r w:rsidRPr="00687572">
        <w:rPr>
          <w:rFonts w:ascii="Times New Roman" w:hAnsi="Times New Roman"/>
          <w:sz w:val="28"/>
          <w:szCs w:val="28"/>
        </w:rPr>
        <w:t>Министерства здравоохранения Республики Казахстан</w:t>
      </w:r>
    </w:p>
    <w:p w14:paraId="63D4DAB6" w14:textId="77777777" w:rsidR="006703A5" w:rsidRPr="00687572" w:rsidRDefault="00487C49" w:rsidP="006703A5">
      <w:pPr>
        <w:keepNext/>
        <w:spacing w:after="0" w:line="240" w:lineRule="auto"/>
        <w:jc w:val="both"/>
        <w:rPr>
          <w:rFonts w:ascii="Times New Roman" w:hAnsi="Times New Roman"/>
          <w:sz w:val="28"/>
          <w:szCs w:val="28"/>
        </w:rPr>
      </w:pPr>
      <w:hyperlink r:id="rId9" w:history="1">
        <w:r w:rsidR="006703A5" w:rsidRPr="00687572">
          <w:rPr>
            <w:rStyle w:val="af"/>
            <w:rFonts w:ascii="Times New Roman" w:hAnsi="Times New Roman"/>
            <w:sz w:val="28"/>
            <w:szCs w:val="28"/>
            <w:lang w:val="en-US"/>
          </w:rPr>
          <w:t>http</w:t>
        </w:r>
        <w:r w:rsidR="006703A5" w:rsidRPr="00687572">
          <w:rPr>
            <w:rStyle w:val="af"/>
            <w:rFonts w:ascii="Times New Roman" w:hAnsi="Times New Roman"/>
            <w:sz w:val="28"/>
            <w:szCs w:val="28"/>
          </w:rPr>
          <w:t>://</w:t>
        </w:r>
        <w:r w:rsidR="006703A5" w:rsidRPr="00687572">
          <w:rPr>
            <w:rStyle w:val="af"/>
            <w:rFonts w:ascii="Times New Roman" w:hAnsi="Times New Roman"/>
            <w:sz w:val="28"/>
            <w:szCs w:val="28"/>
            <w:lang w:val="en-US"/>
          </w:rPr>
          <w:t>www</w:t>
        </w:r>
        <w:r w:rsidR="006703A5" w:rsidRPr="00687572">
          <w:rPr>
            <w:rStyle w:val="af"/>
            <w:rFonts w:ascii="Times New Roman" w:hAnsi="Times New Roman"/>
            <w:sz w:val="28"/>
            <w:szCs w:val="28"/>
          </w:rPr>
          <w:t>.</w:t>
        </w:r>
        <w:r w:rsidR="006703A5" w:rsidRPr="00687572">
          <w:rPr>
            <w:rStyle w:val="af"/>
            <w:rFonts w:ascii="Times New Roman" w:hAnsi="Times New Roman"/>
            <w:sz w:val="28"/>
            <w:szCs w:val="28"/>
            <w:lang w:val="en-US"/>
          </w:rPr>
          <w:t>ndda</w:t>
        </w:r>
        <w:r w:rsidR="006703A5" w:rsidRPr="00687572">
          <w:rPr>
            <w:rStyle w:val="af"/>
            <w:rFonts w:ascii="Times New Roman" w:hAnsi="Times New Roman"/>
            <w:sz w:val="28"/>
            <w:szCs w:val="28"/>
          </w:rPr>
          <w:t>.</w:t>
        </w:r>
        <w:r w:rsidR="006703A5" w:rsidRPr="00687572">
          <w:rPr>
            <w:rStyle w:val="af"/>
            <w:rFonts w:ascii="Times New Roman" w:hAnsi="Times New Roman"/>
            <w:sz w:val="28"/>
            <w:szCs w:val="28"/>
            <w:lang w:val="en-US"/>
          </w:rPr>
          <w:t>kz</w:t>
        </w:r>
      </w:hyperlink>
    </w:p>
    <w:p w14:paraId="77D7759E" w14:textId="77777777" w:rsidR="006703A5" w:rsidRPr="00687572" w:rsidRDefault="006703A5" w:rsidP="00844CE8">
      <w:pPr>
        <w:pStyle w:val="ac"/>
        <w:jc w:val="both"/>
        <w:rPr>
          <w:rFonts w:ascii="Times New Roman" w:hAnsi="Times New Roman"/>
          <w:color w:val="000000"/>
          <w:sz w:val="28"/>
          <w:szCs w:val="28"/>
        </w:rPr>
      </w:pPr>
    </w:p>
    <w:p w14:paraId="1FC8381E" w14:textId="77777777" w:rsidR="000C2C4B" w:rsidRPr="00687572" w:rsidRDefault="000C2C4B" w:rsidP="00844CE8">
      <w:pPr>
        <w:pStyle w:val="ac"/>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Дополнительные сведения</w:t>
      </w:r>
    </w:p>
    <w:p w14:paraId="5F1DAB57" w14:textId="77777777" w:rsidR="006B7A90" w:rsidRPr="00687572" w:rsidRDefault="00844CE8" w:rsidP="00844CE8">
      <w:pPr>
        <w:spacing w:after="0" w:line="240" w:lineRule="auto"/>
        <w:jc w:val="both"/>
        <w:rPr>
          <w:rFonts w:ascii="Times New Roman" w:hAnsi="Times New Roman"/>
          <w:i/>
          <w:sz w:val="28"/>
          <w:szCs w:val="28"/>
        </w:rPr>
      </w:pPr>
      <w:bookmarkStart w:id="8" w:name="2175220285"/>
      <w:r w:rsidRPr="00687572">
        <w:rPr>
          <w:rFonts w:ascii="Times New Roman" w:eastAsia="Times New Roman" w:hAnsi="Times New Roman"/>
          <w:b/>
          <w:i/>
          <w:sz w:val="28"/>
          <w:szCs w:val="28"/>
          <w:lang w:eastAsia="ru-RU"/>
        </w:rPr>
        <w:t>Состав лекарственного препарата</w:t>
      </w:r>
      <w:r w:rsidR="00C379C9" w:rsidRPr="00687572">
        <w:rPr>
          <w:rFonts w:ascii="Times New Roman" w:eastAsia="Times New Roman" w:hAnsi="Times New Roman"/>
          <w:b/>
          <w:i/>
          <w:sz w:val="28"/>
          <w:szCs w:val="28"/>
          <w:lang w:eastAsia="ru-RU"/>
        </w:rPr>
        <w:t xml:space="preserve"> </w:t>
      </w:r>
    </w:p>
    <w:p w14:paraId="10431DA6" w14:textId="77777777" w:rsidR="006B7A90" w:rsidRPr="00687572"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9" w:name="2175220286"/>
      <w:bookmarkEnd w:id="8"/>
      <w:r w:rsidRPr="00687572">
        <w:rPr>
          <w:rFonts w:ascii="Times New Roman" w:eastAsia="Times New Roman" w:hAnsi="Times New Roman"/>
          <w:bCs/>
          <w:sz w:val="28"/>
          <w:szCs w:val="28"/>
          <w:lang w:eastAsia="ru-RU"/>
        </w:rPr>
        <w:t>Од</w:t>
      </w:r>
      <w:r w:rsidR="00176BED" w:rsidRPr="00687572">
        <w:rPr>
          <w:rFonts w:ascii="Times New Roman" w:eastAsia="Times New Roman" w:hAnsi="Times New Roman"/>
          <w:bCs/>
          <w:sz w:val="28"/>
          <w:szCs w:val="28"/>
          <w:lang w:eastAsia="ru-RU"/>
        </w:rPr>
        <w:t>ин флакон содержит:</w:t>
      </w:r>
    </w:p>
    <w:p w14:paraId="79D51223" w14:textId="77777777" w:rsidR="00176BED" w:rsidRPr="00687572" w:rsidRDefault="00844CE8" w:rsidP="00176BED">
      <w:pPr>
        <w:widowControl w:val="0"/>
        <w:autoSpaceDE w:val="0"/>
        <w:autoSpaceDN w:val="0"/>
        <w:spacing w:after="0" w:line="240" w:lineRule="auto"/>
        <w:jc w:val="both"/>
        <w:rPr>
          <w:rFonts w:ascii="Times New Roman" w:eastAsia="Times New Roman" w:hAnsi="Times New Roman"/>
          <w:bCs/>
          <w:sz w:val="28"/>
          <w:szCs w:val="28"/>
          <w:lang w:eastAsia="ru-RU"/>
        </w:rPr>
      </w:pPr>
      <w:r w:rsidRPr="00687572">
        <w:rPr>
          <w:rFonts w:ascii="Times New Roman" w:eastAsia="Times New Roman" w:hAnsi="Times New Roman"/>
          <w:bCs/>
          <w:i/>
          <w:sz w:val="28"/>
          <w:szCs w:val="28"/>
          <w:lang w:eastAsia="ru-RU"/>
        </w:rPr>
        <w:t xml:space="preserve">активное вещество - </w:t>
      </w:r>
      <w:r w:rsidR="00176BED" w:rsidRPr="00687572">
        <w:rPr>
          <w:rFonts w:ascii="Times New Roman" w:eastAsia="Times New Roman" w:hAnsi="Times New Roman"/>
          <w:bCs/>
          <w:sz w:val="28"/>
          <w:szCs w:val="28"/>
          <w:lang w:eastAsia="ru-RU"/>
        </w:rPr>
        <w:t>каспофунгина ацетат эквивалентно каспофунгину 50.0 мг;</w:t>
      </w:r>
    </w:p>
    <w:p w14:paraId="7E25C8B0" w14:textId="7784EBD2" w:rsidR="006B7A90" w:rsidRDefault="006B7A90" w:rsidP="007F3939">
      <w:pPr>
        <w:autoSpaceDE w:val="0"/>
        <w:autoSpaceDN w:val="0"/>
        <w:adjustRightInd w:val="0"/>
        <w:spacing w:after="0" w:line="240" w:lineRule="auto"/>
        <w:jc w:val="both"/>
        <w:rPr>
          <w:rFonts w:ascii="Times New Roman" w:eastAsia="TimesNewRomanPSMT" w:hAnsi="Times New Roman"/>
          <w:sz w:val="28"/>
          <w:szCs w:val="28"/>
          <w:lang w:eastAsia="ru-RU"/>
        </w:rPr>
      </w:pPr>
      <w:r w:rsidRPr="00687572">
        <w:rPr>
          <w:rFonts w:ascii="Times New Roman" w:hAnsi="Times New Roman"/>
          <w:i/>
          <w:iCs/>
          <w:sz w:val="28"/>
          <w:szCs w:val="28"/>
        </w:rPr>
        <w:t xml:space="preserve">вспомогательные вещества: </w:t>
      </w:r>
      <w:r w:rsidR="00176BED" w:rsidRPr="00687572">
        <w:rPr>
          <w:rFonts w:ascii="Times New Roman" w:eastAsia="TimesNewRomanPSMT" w:hAnsi="Times New Roman"/>
          <w:sz w:val="28"/>
          <w:szCs w:val="28"/>
          <w:lang w:eastAsia="ru-RU"/>
        </w:rPr>
        <w:t>сахароза, маннитол, углерода диоксид, кислота хлороводородная концентрированная, натрия гидроксид, вода для инъекций.</w:t>
      </w:r>
    </w:p>
    <w:p w14:paraId="4157D984" w14:textId="77777777" w:rsidR="004F0CD1" w:rsidRPr="007F3939" w:rsidRDefault="004F0CD1" w:rsidP="007F3939">
      <w:pPr>
        <w:autoSpaceDE w:val="0"/>
        <w:autoSpaceDN w:val="0"/>
        <w:adjustRightInd w:val="0"/>
        <w:spacing w:after="0" w:line="240" w:lineRule="auto"/>
        <w:jc w:val="both"/>
        <w:rPr>
          <w:rFonts w:ascii="Times New Roman" w:eastAsia="TimesNewRomanPSMT" w:hAnsi="Times New Roman"/>
          <w:sz w:val="28"/>
          <w:szCs w:val="28"/>
          <w:lang w:eastAsia="ru-RU"/>
        </w:rPr>
      </w:pPr>
    </w:p>
    <w:p w14:paraId="0A91116F" w14:textId="77777777" w:rsidR="006B7A90" w:rsidRPr="00687572" w:rsidRDefault="006B7A90" w:rsidP="00844CE8">
      <w:pPr>
        <w:spacing w:after="0" w:line="240" w:lineRule="auto"/>
        <w:jc w:val="both"/>
        <w:rPr>
          <w:rFonts w:ascii="Times New Roman" w:eastAsia="Times New Roman" w:hAnsi="Times New Roman"/>
          <w:b/>
          <w:i/>
          <w:sz w:val="28"/>
          <w:szCs w:val="28"/>
          <w:lang w:eastAsia="ru-RU"/>
        </w:rPr>
      </w:pPr>
      <w:r w:rsidRPr="00687572">
        <w:rPr>
          <w:rFonts w:ascii="Times New Roman" w:eastAsia="Times New Roman" w:hAnsi="Times New Roman"/>
          <w:b/>
          <w:i/>
          <w:sz w:val="28"/>
          <w:szCs w:val="28"/>
          <w:lang w:eastAsia="ru-RU"/>
        </w:rPr>
        <w:t>Описание внешнего вида, запаха, вкуса</w:t>
      </w:r>
    </w:p>
    <w:bookmarkEnd w:id="9"/>
    <w:p w14:paraId="7A568EC9" w14:textId="77777777" w:rsidR="00176BED" w:rsidRPr="00687572" w:rsidRDefault="00176BED" w:rsidP="00176BED">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r w:rsidRPr="00687572">
        <w:rPr>
          <w:rFonts w:ascii="Times New Roman" w:eastAsia="Times New Roman" w:hAnsi="Times New Roman"/>
          <w:color w:val="000000"/>
          <w:spacing w:val="-4"/>
          <w:sz w:val="28"/>
          <w:szCs w:val="28"/>
          <w:lang w:eastAsia="hu-HU"/>
        </w:rPr>
        <w:t>От белого до почти белого цвета лиофилизированная лепешка или порошок.</w:t>
      </w:r>
    </w:p>
    <w:p w14:paraId="65B0AF73" w14:textId="77777777" w:rsidR="006B7A90" w:rsidRPr="00687572" w:rsidRDefault="006B7A90" w:rsidP="00844CE8">
      <w:pPr>
        <w:pStyle w:val="ac"/>
        <w:jc w:val="both"/>
        <w:rPr>
          <w:rFonts w:ascii="Times New Roman" w:eastAsia="Times New Roman" w:hAnsi="Times New Roman"/>
          <w:sz w:val="28"/>
          <w:szCs w:val="28"/>
          <w:lang w:eastAsia="ru-RU"/>
        </w:rPr>
      </w:pPr>
    </w:p>
    <w:p w14:paraId="4647C77D" w14:textId="7C875A53" w:rsidR="00C9308C" w:rsidRPr="00687572" w:rsidRDefault="001C185C" w:rsidP="00844CE8">
      <w:pPr>
        <w:spacing w:after="0" w:line="240" w:lineRule="auto"/>
        <w:jc w:val="both"/>
        <w:rPr>
          <w:rFonts w:ascii="Times New Roman" w:eastAsia="Times New Roman" w:hAnsi="Times New Roman"/>
          <w:b/>
          <w:sz w:val="28"/>
          <w:szCs w:val="28"/>
          <w:lang w:eastAsia="ru-RU"/>
        </w:rPr>
      </w:pPr>
      <w:bookmarkStart w:id="10" w:name="2175220287"/>
      <w:r w:rsidRPr="00687572">
        <w:rPr>
          <w:rFonts w:ascii="Times New Roman" w:eastAsia="Times New Roman" w:hAnsi="Times New Roman"/>
          <w:b/>
          <w:sz w:val="28"/>
          <w:szCs w:val="28"/>
          <w:lang w:eastAsia="ru-RU"/>
        </w:rPr>
        <w:t xml:space="preserve">Форма </w:t>
      </w:r>
      <w:r w:rsidR="00956A3D" w:rsidRPr="00687572">
        <w:rPr>
          <w:rFonts w:ascii="Times New Roman" w:eastAsia="Times New Roman" w:hAnsi="Times New Roman"/>
          <w:b/>
          <w:sz w:val="28"/>
          <w:szCs w:val="28"/>
          <w:lang w:eastAsia="ru-RU"/>
        </w:rPr>
        <w:t>выпуска и</w:t>
      </w:r>
      <w:r w:rsidR="00C9308C" w:rsidRPr="00687572">
        <w:rPr>
          <w:rFonts w:ascii="Times New Roman" w:eastAsia="Times New Roman" w:hAnsi="Times New Roman"/>
          <w:b/>
          <w:sz w:val="28"/>
          <w:szCs w:val="28"/>
          <w:lang w:eastAsia="ru-RU"/>
        </w:rPr>
        <w:t xml:space="preserve"> упаковка</w:t>
      </w:r>
    </w:p>
    <w:p w14:paraId="4ABCD1CA" w14:textId="77777777" w:rsidR="00176BED" w:rsidRPr="00687572" w:rsidRDefault="00176BED" w:rsidP="00176BED">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687572">
        <w:rPr>
          <w:rFonts w:ascii="Times New Roman" w:eastAsia="Microsoft Sans Serif" w:hAnsi="Times New Roman"/>
          <w:sz w:val="28"/>
          <w:szCs w:val="28"/>
          <w:lang w:eastAsia="ru-RU" w:bidi="ru-RU"/>
        </w:rPr>
        <w:t>Лиофилизат для приготовления концентрата, предназначенного для получения раствора для инфузий, 50 мг.</w:t>
      </w:r>
    </w:p>
    <w:p w14:paraId="48C901E2" w14:textId="77777777" w:rsidR="00176BED" w:rsidRPr="00687572" w:rsidRDefault="00176BED" w:rsidP="00176BED">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687572">
        <w:rPr>
          <w:rFonts w:ascii="Times New Roman" w:eastAsia="Microsoft Sans Serif" w:hAnsi="Times New Roman"/>
          <w:sz w:val="28"/>
          <w:szCs w:val="28"/>
          <w:lang w:eastAsia="ru-RU" w:bidi="ru-RU"/>
        </w:rPr>
        <w:t xml:space="preserve">Препарат помещают во флаконы из бесцветного стекла вместимостью </w:t>
      </w:r>
      <w:r w:rsidR="00431BBF">
        <w:rPr>
          <w:rFonts w:ascii="Times New Roman" w:eastAsia="Microsoft Sans Serif" w:hAnsi="Times New Roman"/>
          <w:sz w:val="28"/>
          <w:szCs w:val="28"/>
          <w:lang w:eastAsia="ru-RU" w:bidi="ru-RU"/>
        </w:rPr>
        <w:t xml:space="preserve">     </w:t>
      </w:r>
      <w:r w:rsidRPr="00687572">
        <w:rPr>
          <w:rFonts w:ascii="Times New Roman" w:eastAsia="Microsoft Sans Serif" w:hAnsi="Times New Roman"/>
          <w:sz w:val="28"/>
          <w:szCs w:val="28"/>
          <w:lang w:eastAsia="ru-RU" w:bidi="ru-RU"/>
        </w:rPr>
        <w:t>10 мл (тип I), укупоренные пробками резиновыми и обжатые алюминиевыми колпачками с пластмассовыми крышками типа флип-офф.</w:t>
      </w:r>
    </w:p>
    <w:p w14:paraId="625A0A39" w14:textId="77777777" w:rsidR="00176BED" w:rsidRPr="00687572" w:rsidRDefault="00176BED" w:rsidP="00176BED">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687572">
        <w:rPr>
          <w:rFonts w:ascii="Times New Roman" w:eastAsia="Microsoft Sans Serif" w:hAnsi="Times New Roman"/>
          <w:sz w:val="28"/>
          <w:szCs w:val="28"/>
          <w:lang w:eastAsia="ru-RU" w:bidi="ru-RU"/>
        </w:rPr>
        <w:t xml:space="preserve">По 1 флакону вместе с инструкцией по медицинскому применению на </w:t>
      </w:r>
      <w:r w:rsidR="00431BBF">
        <w:rPr>
          <w:rFonts w:ascii="Times New Roman" w:eastAsia="Microsoft Sans Serif" w:hAnsi="Times New Roman"/>
          <w:sz w:val="28"/>
          <w:szCs w:val="28"/>
          <w:lang w:eastAsia="ru-RU" w:bidi="ru-RU"/>
        </w:rPr>
        <w:t>казахском</w:t>
      </w:r>
      <w:r w:rsidRPr="00687572">
        <w:rPr>
          <w:rFonts w:ascii="Times New Roman" w:eastAsia="Microsoft Sans Serif" w:hAnsi="Times New Roman"/>
          <w:sz w:val="28"/>
          <w:szCs w:val="28"/>
          <w:lang w:eastAsia="ru-RU" w:bidi="ru-RU"/>
        </w:rPr>
        <w:t xml:space="preserve"> и русском языках помещают в пачку из картона.</w:t>
      </w:r>
    </w:p>
    <w:p w14:paraId="334725B8" w14:textId="77777777" w:rsidR="00176BED" w:rsidRPr="00687572" w:rsidRDefault="00176BED" w:rsidP="00844CE8">
      <w:pPr>
        <w:spacing w:after="0" w:line="240" w:lineRule="auto"/>
        <w:jc w:val="both"/>
        <w:rPr>
          <w:rFonts w:ascii="Times New Roman" w:eastAsia="Times New Roman" w:hAnsi="Times New Roman"/>
          <w:bCs/>
          <w:sz w:val="28"/>
          <w:szCs w:val="28"/>
          <w:lang w:eastAsia="ru-RU"/>
        </w:rPr>
      </w:pPr>
    </w:p>
    <w:p w14:paraId="4B7EC4BB" w14:textId="77777777" w:rsidR="00844CE8" w:rsidRPr="00687572" w:rsidRDefault="00844CE8" w:rsidP="00844CE8">
      <w:pPr>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С</w:t>
      </w:r>
      <w:r w:rsidR="000E01AB" w:rsidRPr="00687572">
        <w:rPr>
          <w:rFonts w:ascii="Times New Roman" w:eastAsia="Times New Roman" w:hAnsi="Times New Roman"/>
          <w:b/>
          <w:sz w:val="28"/>
          <w:szCs w:val="28"/>
          <w:lang w:eastAsia="ru-RU"/>
        </w:rPr>
        <w:t xml:space="preserve">рок </w:t>
      </w:r>
      <w:r w:rsidR="006C6558" w:rsidRPr="00687572">
        <w:rPr>
          <w:rFonts w:ascii="Times New Roman" w:eastAsia="Times New Roman" w:hAnsi="Times New Roman"/>
          <w:b/>
          <w:sz w:val="28"/>
          <w:szCs w:val="28"/>
          <w:lang w:eastAsia="ru-RU"/>
        </w:rPr>
        <w:t>хранения</w:t>
      </w:r>
      <w:r w:rsidR="000E01AB" w:rsidRPr="00687572">
        <w:rPr>
          <w:rFonts w:ascii="Times New Roman" w:eastAsia="Times New Roman" w:hAnsi="Times New Roman"/>
          <w:b/>
          <w:sz w:val="28"/>
          <w:szCs w:val="28"/>
          <w:lang w:eastAsia="ru-RU"/>
        </w:rPr>
        <w:t xml:space="preserve"> </w:t>
      </w:r>
    </w:p>
    <w:p w14:paraId="594E1F4F" w14:textId="77777777" w:rsidR="00176BED" w:rsidRPr="00687572" w:rsidRDefault="00176BED" w:rsidP="00176BED">
      <w:pPr>
        <w:spacing w:after="0" w:line="240" w:lineRule="auto"/>
        <w:jc w:val="both"/>
        <w:rPr>
          <w:rFonts w:ascii="Times New Roman" w:hAnsi="Times New Roman"/>
          <w:sz w:val="28"/>
          <w:szCs w:val="28"/>
          <w:lang w:bidi="ru-RU"/>
        </w:rPr>
      </w:pPr>
      <w:r w:rsidRPr="00687572">
        <w:rPr>
          <w:rFonts w:ascii="Times New Roman" w:hAnsi="Times New Roman"/>
          <w:sz w:val="28"/>
          <w:szCs w:val="28"/>
          <w:lang w:bidi="ru-RU"/>
        </w:rPr>
        <w:t>2 года</w:t>
      </w:r>
    </w:p>
    <w:p w14:paraId="251410B0" w14:textId="5573B510" w:rsidR="000E01AB" w:rsidRDefault="00D14D61" w:rsidP="00844CE8">
      <w:pPr>
        <w:spacing w:after="0" w:line="240" w:lineRule="auto"/>
        <w:jc w:val="both"/>
        <w:rPr>
          <w:rFonts w:ascii="Times New Roman" w:eastAsia="Times New Roman" w:hAnsi="Times New Roman"/>
          <w:sz w:val="28"/>
          <w:szCs w:val="28"/>
          <w:lang w:eastAsia="ru-RU"/>
        </w:rPr>
      </w:pPr>
      <w:r w:rsidRPr="00687572">
        <w:rPr>
          <w:rFonts w:ascii="Times New Roman" w:eastAsia="Times New Roman" w:hAnsi="Times New Roman"/>
          <w:sz w:val="28"/>
          <w:szCs w:val="28"/>
          <w:lang w:eastAsia="ru-RU"/>
        </w:rPr>
        <w:t xml:space="preserve">Не </w:t>
      </w:r>
      <w:r w:rsidR="000E01AB" w:rsidRPr="00687572">
        <w:rPr>
          <w:rFonts w:ascii="Times New Roman" w:eastAsia="Times New Roman" w:hAnsi="Times New Roman"/>
          <w:sz w:val="28"/>
          <w:szCs w:val="28"/>
          <w:lang w:eastAsia="ru-RU"/>
        </w:rPr>
        <w:t>примен</w:t>
      </w:r>
      <w:r w:rsidRPr="00687572">
        <w:rPr>
          <w:rFonts w:ascii="Times New Roman" w:eastAsia="Times New Roman" w:hAnsi="Times New Roman"/>
          <w:sz w:val="28"/>
          <w:szCs w:val="28"/>
          <w:lang w:eastAsia="ru-RU"/>
        </w:rPr>
        <w:t xml:space="preserve">ять </w:t>
      </w:r>
      <w:r w:rsidR="000E01AB" w:rsidRPr="00687572">
        <w:rPr>
          <w:rFonts w:ascii="Times New Roman" w:eastAsia="Times New Roman" w:hAnsi="Times New Roman"/>
          <w:sz w:val="28"/>
          <w:szCs w:val="28"/>
          <w:lang w:eastAsia="ru-RU"/>
        </w:rPr>
        <w:t>по истечении срока годности</w:t>
      </w:r>
      <w:r w:rsidRPr="00687572">
        <w:rPr>
          <w:rFonts w:ascii="Times New Roman" w:eastAsia="Times New Roman" w:hAnsi="Times New Roman"/>
          <w:sz w:val="28"/>
          <w:szCs w:val="28"/>
          <w:lang w:eastAsia="ru-RU"/>
        </w:rPr>
        <w:t>!</w:t>
      </w:r>
    </w:p>
    <w:p w14:paraId="52F61CF9" w14:textId="77777777" w:rsidR="001C185C" w:rsidRPr="00687572" w:rsidRDefault="001C185C" w:rsidP="00844CE8">
      <w:pPr>
        <w:spacing w:after="0" w:line="240" w:lineRule="auto"/>
        <w:jc w:val="both"/>
        <w:rPr>
          <w:rFonts w:ascii="Times New Roman" w:eastAsia="Times New Roman" w:hAnsi="Times New Roman"/>
          <w:sz w:val="28"/>
          <w:szCs w:val="28"/>
          <w:lang w:eastAsia="ru-RU"/>
        </w:rPr>
      </w:pPr>
    </w:p>
    <w:p w14:paraId="0DD0F480" w14:textId="77777777" w:rsidR="000E01AB" w:rsidRPr="00687572" w:rsidRDefault="00D14D61" w:rsidP="00844CE8">
      <w:pPr>
        <w:spacing w:after="0" w:line="240" w:lineRule="auto"/>
        <w:jc w:val="both"/>
        <w:rPr>
          <w:rFonts w:ascii="Times New Roman" w:eastAsia="Times New Roman" w:hAnsi="Times New Roman"/>
          <w:b/>
          <w:i/>
          <w:sz w:val="28"/>
          <w:szCs w:val="28"/>
          <w:lang w:eastAsia="ru-RU"/>
        </w:rPr>
      </w:pPr>
      <w:bookmarkStart w:id="11" w:name="2175220288"/>
      <w:bookmarkEnd w:id="10"/>
      <w:r w:rsidRPr="00687572">
        <w:rPr>
          <w:rFonts w:ascii="Times New Roman" w:eastAsia="Times New Roman" w:hAnsi="Times New Roman"/>
          <w:b/>
          <w:i/>
          <w:sz w:val="28"/>
          <w:szCs w:val="28"/>
          <w:lang w:eastAsia="ru-RU"/>
        </w:rPr>
        <w:t>Условия хранения</w:t>
      </w:r>
    </w:p>
    <w:bookmarkEnd w:id="11"/>
    <w:p w14:paraId="24408DB2" w14:textId="77777777" w:rsidR="00176BED" w:rsidRPr="00687572" w:rsidRDefault="00176BED" w:rsidP="00176BED">
      <w:pPr>
        <w:spacing w:after="0" w:line="240" w:lineRule="auto"/>
        <w:jc w:val="both"/>
        <w:rPr>
          <w:rFonts w:ascii="Times New Roman" w:hAnsi="Times New Roman"/>
          <w:sz w:val="28"/>
          <w:szCs w:val="28"/>
        </w:rPr>
      </w:pPr>
      <w:r w:rsidRPr="00687572">
        <w:rPr>
          <w:rFonts w:ascii="Times New Roman" w:hAnsi="Times New Roman"/>
          <w:sz w:val="28"/>
          <w:szCs w:val="28"/>
        </w:rPr>
        <w:t>В сухом, защищённом от света месте, при температуре 2-8</w:t>
      </w:r>
      <w:r w:rsidR="00FE2AB5" w:rsidRPr="00687572">
        <w:rPr>
          <w:rFonts w:ascii="Times New Roman" w:hAnsi="Times New Roman"/>
          <w:sz w:val="28"/>
          <w:szCs w:val="28"/>
        </w:rPr>
        <w:t xml:space="preserve"> </w:t>
      </w:r>
      <w:r w:rsidRPr="00687572">
        <w:rPr>
          <w:rFonts w:ascii="Times New Roman" w:hAnsi="Times New Roman"/>
          <w:sz w:val="28"/>
          <w:szCs w:val="28"/>
          <w:vertAlign w:val="superscript"/>
        </w:rPr>
        <w:t>0</w:t>
      </w:r>
      <w:r w:rsidRPr="00687572">
        <w:rPr>
          <w:rFonts w:ascii="Times New Roman" w:hAnsi="Times New Roman"/>
          <w:sz w:val="28"/>
          <w:szCs w:val="28"/>
        </w:rPr>
        <w:t xml:space="preserve">С. </w:t>
      </w:r>
    </w:p>
    <w:p w14:paraId="5B88AC2C" w14:textId="77777777" w:rsidR="00176BED" w:rsidRPr="00687572" w:rsidRDefault="00176BED" w:rsidP="00176BED">
      <w:pPr>
        <w:spacing w:after="0" w:line="240" w:lineRule="auto"/>
        <w:jc w:val="both"/>
        <w:rPr>
          <w:rFonts w:ascii="Times New Roman" w:hAnsi="Times New Roman"/>
          <w:sz w:val="28"/>
          <w:szCs w:val="28"/>
        </w:rPr>
      </w:pPr>
      <w:r w:rsidRPr="00687572">
        <w:rPr>
          <w:rFonts w:ascii="Times New Roman" w:hAnsi="Times New Roman"/>
          <w:sz w:val="28"/>
          <w:szCs w:val="28"/>
        </w:rPr>
        <w:t>Восстановленный первичный раствор в воде для инъекций или растворе Рингера хранить при температуре не выше 25</w:t>
      </w:r>
      <w:r w:rsidR="00FE2AB5" w:rsidRPr="00687572">
        <w:rPr>
          <w:rFonts w:ascii="Times New Roman" w:hAnsi="Times New Roman"/>
          <w:sz w:val="28"/>
          <w:szCs w:val="28"/>
        </w:rPr>
        <w:t xml:space="preserve"> </w:t>
      </w:r>
      <w:r w:rsidRPr="00687572">
        <w:rPr>
          <w:rFonts w:ascii="Times New Roman" w:hAnsi="Times New Roman"/>
          <w:sz w:val="28"/>
          <w:szCs w:val="28"/>
          <w:vertAlign w:val="superscript"/>
        </w:rPr>
        <w:t>0</w:t>
      </w:r>
      <w:r w:rsidRPr="00687572">
        <w:rPr>
          <w:rFonts w:ascii="Times New Roman" w:hAnsi="Times New Roman"/>
          <w:sz w:val="28"/>
          <w:szCs w:val="28"/>
        </w:rPr>
        <w:t>С не более 24 ч.</w:t>
      </w:r>
    </w:p>
    <w:p w14:paraId="2541EAE7" w14:textId="77777777" w:rsidR="00176BED" w:rsidRPr="00687572" w:rsidRDefault="00176BED" w:rsidP="00176BED">
      <w:pPr>
        <w:spacing w:after="0" w:line="240" w:lineRule="auto"/>
        <w:jc w:val="both"/>
        <w:rPr>
          <w:rFonts w:ascii="Times New Roman" w:hAnsi="Times New Roman"/>
          <w:sz w:val="28"/>
          <w:szCs w:val="28"/>
        </w:rPr>
      </w:pPr>
      <w:r w:rsidRPr="00687572">
        <w:rPr>
          <w:rFonts w:ascii="Times New Roman" w:hAnsi="Times New Roman"/>
          <w:sz w:val="28"/>
          <w:szCs w:val="28"/>
        </w:rPr>
        <w:t>Восстановленный конечный инфузионный раствор в воде для инъекций или растворе Рингера хранить при температуре не выше 25</w:t>
      </w:r>
      <w:r w:rsidR="00FE2AB5" w:rsidRPr="00687572">
        <w:rPr>
          <w:rFonts w:ascii="Times New Roman" w:hAnsi="Times New Roman"/>
          <w:sz w:val="28"/>
          <w:szCs w:val="28"/>
        </w:rPr>
        <w:t xml:space="preserve"> </w:t>
      </w:r>
      <w:r w:rsidRPr="00687572">
        <w:rPr>
          <w:rFonts w:ascii="Times New Roman" w:hAnsi="Times New Roman"/>
          <w:sz w:val="28"/>
          <w:szCs w:val="28"/>
          <w:vertAlign w:val="superscript"/>
        </w:rPr>
        <w:t>0</w:t>
      </w:r>
      <w:r w:rsidRPr="00687572">
        <w:rPr>
          <w:rFonts w:ascii="Times New Roman" w:hAnsi="Times New Roman"/>
          <w:sz w:val="28"/>
          <w:szCs w:val="28"/>
        </w:rPr>
        <w:t xml:space="preserve">С не более </w:t>
      </w:r>
      <w:r w:rsidR="00431BBF">
        <w:rPr>
          <w:rFonts w:ascii="Times New Roman" w:hAnsi="Times New Roman"/>
          <w:sz w:val="28"/>
          <w:szCs w:val="28"/>
        </w:rPr>
        <w:t xml:space="preserve">   </w:t>
      </w:r>
      <w:r w:rsidRPr="00687572">
        <w:rPr>
          <w:rFonts w:ascii="Times New Roman" w:hAnsi="Times New Roman"/>
          <w:sz w:val="28"/>
          <w:szCs w:val="28"/>
        </w:rPr>
        <w:t>24 ч и при температуре хранения 2-8</w:t>
      </w:r>
      <w:r w:rsidR="00FE2AB5" w:rsidRPr="00687572">
        <w:rPr>
          <w:rFonts w:ascii="Times New Roman" w:hAnsi="Times New Roman"/>
          <w:sz w:val="28"/>
          <w:szCs w:val="28"/>
        </w:rPr>
        <w:t xml:space="preserve"> </w:t>
      </w:r>
      <w:r w:rsidRPr="00687572">
        <w:rPr>
          <w:rFonts w:ascii="Times New Roman" w:hAnsi="Times New Roman"/>
          <w:sz w:val="28"/>
          <w:szCs w:val="28"/>
          <w:vertAlign w:val="superscript"/>
        </w:rPr>
        <w:t>0</w:t>
      </w:r>
      <w:r w:rsidRPr="00687572">
        <w:rPr>
          <w:rFonts w:ascii="Times New Roman" w:hAnsi="Times New Roman"/>
          <w:sz w:val="28"/>
          <w:szCs w:val="28"/>
        </w:rPr>
        <w:t xml:space="preserve">С не более 48 ч. </w:t>
      </w:r>
    </w:p>
    <w:p w14:paraId="6CDD6E5E" w14:textId="77777777" w:rsidR="00176BED" w:rsidRPr="00687572" w:rsidRDefault="00176BED" w:rsidP="00176BED">
      <w:pPr>
        <w:spacing w:after="0" w:line="240" w:lineRule="auto"/>
        <w:jc w:val="both"/>
        <w:rPr>
          <w:rFonts w:ascii="Times New Roman" w:hAnsi="Times New Roman"/>
          <w:sz w:val="28"/>
          <w:szCs w:val="28"/>
        </w:rPr>
      </w:pPr>
      <w:r w:rsidRPr="00687572">
        <w:rPr>
          <w:rFonts w:ascii="Times New Roman" w:hAnsi="Times New Roman"/>
          <w:sz w:val="28"/>
          <w:szCs w:val="28"/>
        </w:rPr>
        <w:t>Хранить в недоступном для детей месте!</w:t>
      </w:r>
    </w:p>
    <w:p w14:paraId="05DFECCF" w14:textId="77777777" w:rsidR="006B7A90" w:rsidRPr="00687572" w:rsidRDefault="006B7A90" w:rsidP="00844CE8">
      <w:pPr>
        <w:pStyle w:val="ac"/>
        <w:jc w:val="both"/>
        <w:rPr>
          <w:rFonts w:ascii="Times New Roman" w:eastAsia="Times New Roman" w:hAnsi="Times New Roman"/>
          <w:sz w:val="28"/>
          <w:szCs w:val="28"/>
          <w:lang w:eastAsia="ru-RU"/>
        </w:rPr>
      </w:pPr>
    </w:p>
    <w:p w14:paraId="7A8C80F6" w14:textId="77777777" w:rsidR="006C6558" w:rsidRPr="00687572" w:rsidRDefault="006C6558" w:rsidP="00844CE8">
      <w:pPr>
        <w:spacing w:after="0" w:line="240" w:lineRule="auto"/>
        <w:jc w:val="both"/>
        <w:rPr>
          <w:rFonts w:ascii="Times New Roman" w:hAnsi="Times New Roman"/>
          <w:color w:val="000000"/>
          <w:sz w:val="28"/>
          <w:szCs w:val="28"/>
        </w:rPr>
      </w:pPr>
      <w:r w:rsidRPr="00687572">
        <w:rPr>
          <w:rFonts w:ascii="Times New Roman" w:hAnsi="Times New Roman"/>
          <w:b/>
          <w:color w:val="000000"/>
          <w:sz w:val="28"/>
          <w:szCs w:val="28"/>
        </w:rPr>
        <w:t xml:space="preserve">Условия отпуска из аптек </w:t>
      </w:r>
    </w:p>
    <w:p w14:paraId="7B3C4D4F" w14:textId="77777777" w:rsidR="00176BED" w:rsidRPr="00687572" w:rsidRDefault="00176BED" w:rsidP="00844CE8">
      <w:pPr>
        <w:spacing w:after="0" w:line="240" w:lineRule="auto"/>
        <w:jc w:val="both"/>
        <w:rPr>
          <w:rFonts w:ascii="Times New Roman" w:hAnsi="Times New Roman"/>
          <w:b/>
          <w:color w:val="000000"/>
          <w:sz w:val="28"/>
          <w:szCs w:val="28"/>
        </w:rPr>
      </w:pPr>
      <w:r w:rsidRPr="00687572">
        <w:rPr>
          <w:rFonts w:ascii="Times New Roman" w:hAnsi="Times New Roman"/>
          <w:color w:val="000000"/>
          <w:sz w:val="28"/>
          <w:szCs w:val="28"/>
        </w:rPr>
        <w:t>По рецепту</w:t>
      </w:r>
    </w:p>
    <w:p w14:paraId="536EB7EC" w14:textId="77777777" w:rsidR="006C6558" w:rsidRPr="00687572" w:rsidRDefault="006C6558" w:rsidP="00844CE8">
      <w:pPr>
        <w:spacing w:after="0" w:line="240" w:lineRule="auto"/>
        <w:jc w:val="both"/>
        <w:rPr>
          <w:rFonts w:ascii="Times New Roman" w:eastAsia="Times New Roman" w:hAnsi="Times New Roman"/>
          <w:b/>
          <w:sz w:val="28"/>
          <w:szCs w:val="28"/>
          <w:lang w:eastAsia="ru-RU"/>
        </w:rPr>
      </w:pPr>
    </w:p>
    <w:p w14:paraId="5992CC0C" w14:textId="77777777" w:rsidR="006B7A90" w:rsidRPr="00687572" w:rsidRDefault="007C1693" w:rsidP="00844CE8">
      <w:pPr>
        <w:spacing w:after="0" w:line="240" w:lineRule="auto"/>
        <w:jc w:val="both"/>
        <w:rPr>
          <w:rFonts w:ascii="Times New Roman" w:eastAsia="Times New Roman" w:hAnsi="Times New Roman"/>
          <w:b/>
          <w:sz w:val="28"/>
          <w:szCs w:val="28"/>
          <w:lang w:eastAsia="ru-RU"/>
        </w:rPr>
      </w:pPr>
      <w:r w:rsidRPr="00687572">
        <w:rPr>
          <w:rFonts w:ascii="Times New Roman" w:eastAsia="Times New Roman" w:hAnsi="Times New Roman"/>
          <w:b/>
          <w:sz w:val="28"/>
          <w:szCs w:val="28"/>
          <w:lang w:eastAsia="ru-RU"/>
        </w:rPr>
        <w:t xml:space="preserve">Сведения о производителе </w:t>
      </w:r>
    </w:p>
    <w:p w14:paraId="6FAAD71A" w14:textId="77777777" w:rsidR="006B20FF" w:rsidRPr="001C185C" w:rsidRDefault="006B20FF" w:rsidP="006B20FF">
      <w:pPr>
        <w:autoSpaceDE w:val="0"/>
        <w:autoSpaceDN w:val="0"/>
        <w:spacing w:after="0" w:line="240" w:lineRule="auto"/>
        <w:jc w:val="both"/>
        <w:rPr>
          <w:rFonts w:ascii="Times New Roman" w:hAnsi="Times New Roman"/>
          <w:color w:val="000000"/>
          <w:sz w:val="28"/>
          <w:szCs w:val="28"/>
        </w:rPr>
      </w:pPr>
      <w:r w:rsidRPr="00687572">
        <w:rPr>
          <w:rFonts w:ascii="Times New Roman" w:hAnsi="Times New Roman"/>
          <w:color w:val="000000"/>
          <w:sz w:val="28"/>
          <w:szCs w:val="28"/>
          <w:lang w:val="en-US"/>
        </w:rPr>
        <w:t>Gland</w:t>
      </w:r>
      <w:r w:rsidRPr="001C185C">
        <w:rPr>
          <w:rFonts w:ascii="Times New Roman" w:hAnsi="Times New Roman"/>
          <w:color w:val="000000"/>
          <w:sz w:val="28"/>
          <w:szCs w:val="28"/>
        </w:rPr>
        <w:t xml:space="preserve"> </w:t>
      </w:r>
      <w:r w:rsidRPr="00687572">
        <w:rPr>
          <w:rFonts w:ascii="Times New Roman" w:hAnsi="Times New Roman"/>
          <w:color w:val="000000"/>
          <w:sz w:val="28"/>
          <w:szCs w:val="28"/>
          <w:lang w:val="en-US"/>
        </w:rPr>
        <w:t>Pharma</w:t>
      </w:r>
      <w:r w:rsidRPr="001C185C">
        <w:rPr>
          <w:rFonts w:ascii="Times New Roman" w:hAnsi="Times New Roman"/>
          <w:color w:val="000000"/>
          <w:sz w:val="28"/>
          <w:szCs w:val="28"/>
        </w:rPr>
        <w:t xml:space="preserve"> </w:t>
      </w:r>
      <w:r w:rsidRPr="00687572">
        <w:rPr>
          <w:rFonts w:ascii="Times New Roman" w:hAnsi="Times New Roman"/>
          <w:color w:val="000000"/>
          <w:sz w:val="28"/>
          <w:szCs w:val="28"/>
          <w:lang w:val="en-US"/>
        </w:rPr>
        <w:t>Limited</w:t>
      </w:r>
      <w:r w:rsidRPr="001C185C">
        <w:rPr>
          <w:rFonts w:ascii="Times New Roman" w:hAnsi="Times New Roman"/>
          <w:color w:val="000000"/>
          <w:sz w:val="28"/>
          <w:szCs w:val="28"/>
        </w:rPr>
        <w:t xml:space="preserve">,           </w:t>
      </w:r>
    </w:p>
    <w:p w14:paraId="080AEC1F" w14:textId="77777777" w:rsidR="006B20FF" w:rsidRPr="00687572" w:rsidRDefault="00FE2AB5" w:rsidP="006B20FF">
      <w:pPr>
        <w:autoSpaceDE w:val="0"/>
        <w:autoSpaceDN w:val="0"/>
        <w:spacing w:after="0" w:line="240" w:lineRule="auto"/>
        <w:jc w:val="both"/>
        <w:rPr>
          <w:rFonts w:ascii="Times New Roman" w:hAnsi="Times New Roman"/>
          <w:color w:val="000000"/>
          <w:sz w:val="28"/>
          <w:szCs w:val="28"/>
          <w:lang w:val="en-US"/>
        </w:rPr>
      </w:pPr>
      <w:r w:rsidRPr="00687572">
        <w:rPr>
          <w:rFonts w:ascii="Times New Roman" w:hAnsi="Times New Roman"/>
          <w:color w:val="000000"/>
          <w:sz w:val="28"/>
          <w:szCs w:val="28"/>
          <w:lang w:val="en-US"/>
        </w:rPr>
        <w:lastRenderedPageBreak/>
        <w:t>Sy No. 143-148, 150 &amp; 151, Near Gandimaisamma Cross Roads, D.P. Pally, Dundigal Post, Dundigal – Gandimaisamma Mandal, Medchal – Malkajgiri District, Hyderabad – 500 043, Telangana, Индия.</w:t>
      </w:r>
    </w:p>
    <w:p w14:paraId="2611157D" w14:textId="77777777" w:rsidR="00D76048" w:rsidRPr="00687572" w:rsidRDefault="006B20FF" w:rsidP="006B20FF">
      <w:pPr>
        <w:autoSpaceDE w:val="0"/>
        <w:autoSpaceDN w:val="0"/>
        <w:spacing w:after="0" w:line="240" w:lineRule="auto"/>
        <w:jc w:val="both"/>
        <w:rPr>
          <w:rFonts w:ascii="Times New Roman" w:hAnsi="Times New Roman"/>
          <w:color w:val="000000"/>
          <w:sz w:val="28"/>
          <w:szCs w:val="28"/>
          <w:lang w:val="en-US"/>
        </w:rPr>
      </w:pPr>
      <w:r w:rsidRPr="00687572">
        <w:rPr>
          <w:rFonts w:ascii="Times New Roman" w:hAnsi="Times New Roman"/>
          <w:color w:val="000000"/>
          <w:sz w:val="28"/>
          <w:szCs w:val="28"/>
          <w:lang w:val="en-US"/>
        </w:rPr>
        <w:t xml:space="preserve">                                                                           </w:t>
      </w:r>
    </w:p>
    <w:p w14:paraId="78722709" w14:textId="77777777" w:rsidR="00D76048" w:rsidRPr="00194F2A"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194F2A">
        <w:rPr>
          <w:rFonts w:ascii="Times New Roman" w:eastAsia="Times New Roman" w:hAnsi="Times New Roman"/>
          <w:b/>
          <w:sz w:val="28"/>
          <w:szCs w:val="28"/>
          <w:lang w:val="uk-UA" w:eastAsia="ru-RU"/>
        </w:rPr>
        <w:t>Держатель</w:t>
      </w:r>
      <w:r w:rsidR="00D76048" w:rsidRPr="00194F2A">
        <w:rPr>
          <w:rFonts w:ascii="Times New Roman" w:eastAsia="Times New Roman" w:hAnsi="Times New Roman"/>
          <w:b/>
          <w:sz w:val="28"/>
          <w:szCs w:val="28"/>
          <w:lang w:eastAsia="ru-RU"/>
        </w:rPr>
        <w:t xml:space="preserve"> регистрационного удостоверения</w:t>
      </w:r>
    </w:p>
    <w:p w14:paraId="4E50812D" w14:textId="2ECEBDBB" w:rsidR="00194F2A" w:rsidRPr="00194F2A"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 xml:space="preserve">ТОО </w:t>
      </w:r>
      <w:r w:rsidR="00F335AF">
        <w:rPr>
          <w:rFonts w:ascii="Times New Roman" w:eastAsia="Microsoft Sans Serif" w:hAnsi="Times New Roman"/>
          <w:sz w:val="28"/>
          <w:szCs w:val="28"/>
          <w:lang w:eastAsia="ru-RU" w:bidi="ru-RU"/>
        </w:rPr>
        <w:t>«</w:t>
      </w:r>
      <w:r w:rsidRPr="00194F2A">
        <w:rPr>
          <w:rFonts w:ascii="Times New Roman" w:eastAsia="Microsoft Sans Serif" w:hAnsi="Times New Roman"/>
          <w:sz w:val="28"/>
          <w:szCs w:val="28"/>
          <w:lang w:eastAsia="ru-RU" w:bidi="ru-RU"/>
        </w:rPr>
        <w:t>Rogers Pharma</w:t>
      </w:r>
      <w:r w:rsidR="00F335AF">
        <w:rPr>
          <w:rFonts w:ascii="Times New Roman" w:eastAsia="Microsoft Sans Serif" w:hAnsi="Times New Roman"/>
          <w:sz w:val="28"/>
          <w:szCs w:val="28"/>
          <w:lang w:eastAsia="ru-RU" w:bidi="ru-RU"/>
        </w:rPr>
        <w:t>»</w:t>
      </w:r>
      <w:r w:rsidRPr="00194F2A">
        <w:rPr>
          <w:rFonts w:ascii="Times New Roman" w:eastAsia="Microsoft Sans Serif" w:hAnsi="Times New Roman"/>
          <w:sz w:val="28"/>
          <w:szCs w:val="28"/>
          <w:lang w:eastAsia="ru-RU" w:bidi="ru-RU"/>
        </w:rPr>
        <w:t xml:space="preserve">, Казахстан, </w:t>
      </w:r>
    </w:p>
    <w:p w14:paraId="01786D66" w14:textId="77777777" w:rsidR="00E2067C" w:rsidRPr="006E71BF"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 xml:space="preserve">050043, г. Алматы, мкр. Мирас, </w:t>
      </w:r>
      <w:r w:rsidR="006953D5" w:rsidRPr="00194F2A">
        <w:rPr>
          <w:rFonts w:ascii="Times New Roman" w:eastAsia="Microsoft Sans Serif" w:hAnsi="Times New Roman"/>
          <w:sz w:val="28"/>
          <w:szCs w:val="28"/>
          <w:lang w:eastAsia="ru-RU" w:bidi="ru-RU"/>
        </w:rPr>
        <w:t xml:space="preserve">д. </w:t>
      </w:r>
      <w:r w:rsidRPr="00194F2A">
        <w:rPr>
          <w:rFonts w:ascii="Times New Roman" w:eastAsia="Microsoft Sans Serif" w:hAnsi="Times New Roman"/>
          <w:sz w:val="28"/>
          <w:szCs w:val="28"/>
          <w:lang w:eastAsia="ru-RU" w:bidi="ru-RU"/>
        </w:rPr>
        <w:t>157, н.п. 819</w:t>
      </w:r>
      <w:r w:rsidR="006E71BF" w:rsidRPr="006E71BF">
        <w:rPr>
          <w:rFonts w:ascii="Times New Roman" w:eastAsia="Microsoft Sans Serif" w:hAnsi="Times New Roman"/>
          <w:sz w:val="28"/>
          <w:szCs w:val="28"/>
          <w:lang w:eastAsia="ru-RU" w:bidi="ru-RU"/>
        </w:rPr>
        <w:t>.</w:t>
      </w:r>
    </w:p>
    <w:p w14:paraId="04099190" w14:textId="2E10FCAF" w:rsidR="00E2067C" w:rsidRPr="00F335AF"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194F2A">
        <w:rPr>
          <w:rFonts w:ascii="Times New Roman" w:eastAsia="Microsoft Sans Serif" w:hAnsi="Times New Roman"/>
          <w:sz w:val="28"/>
          <w:szCs w:val="28"/>
          <w:lang w:eastAsia="ru-RU" w:bidi="ru-RU"/>
        </w:rPr>
        <w:t>Тел</w:t>
      </w:r>
      <w:r w:rsidRPr="00F335AF">
        <w:rPr>
          <w:rFonts w:ascii="Times New Roman" w:eastAsia="Microsoft Sans Serif" w:hAnsi="Times New Roman"/>
          <w:sz w:val="28"/>
          <w:szCs w:val="28"/>
          <w:lang w:val="en-US" w:eastAsia="ru-RU" w:bidi="ru-RU"/>
        </w:rPr>
        <w:t>.</w:t>
      </w:r>
      <w:r w:rsidR="007B64E7" w:rsidRPr="007B64E7">
        <w:rPr>
          <w:rFonts w:ascii="Times New Roman" w:eastAsia="Microsoft Sans Serif" w:hAnsi="Times New Roman"/>
          <w:sz w:val="28"/>
          <w:szCs w:val="28"/>
          <w:lang w:val="en-US" w:eastAsia="ru-RU" w:bidi="ru-RU"/>
        </w:rPr>
        <w:t xml:space="preserve"> +7</w:t>
      </w:r>
      <w:r w:rsidRPr="00F335AF">
        <w:rPr>
          <w:rFonts w:ascii="Times New Roman" w:eastAsia="Microsoft Sans Serif" w:hAnsi="Times New Roman"/>
          <w:sz w:val="28"/>
          <w:szCs w:val="28"/>
          <w:lang w:val="en-US" w:eastAsia="ru-RU" w:bidi="ru-RU"/>
        </w:rPr>
        <w:t xml:space="preserve"> (727) 311-81-96/97, </w:t>
      </w:r>
      <w:r w:rsidRPr="00194F2A">
        <w:rPr>
          <w:rFonts w:ascii="Times New Roman" w:eastAsia="Microsoft Sans Serif" w:hAnsi="Times New Roman"/>
          <w:sz w:val="28"/>
          <w:szCs w:val="28"/>
          <w:lang w:val="en-US" w:eastAsia="ru-RU" w:bidi="ru-RU"/>
        </w:rPr>
        <w:t>e</w:t>
      </w:r>
      <w:r w:rsidRPr="00F335AF">
        <w:rPr>
          <w:rFonts w:ascii="Times New Roman" w:eastAsia="Microsoft Sans Serif" w:hAnsi="Times New Roman"/>
          <w:sz w:val="28"/>
          <w:szCs w:val="28"/>
          <w:lang w:val="en-US" w:eastAsia="ru-RU" w:bidi="ru-RU"/>
        </w:rPr>
        <w:t>-</w:t>
      </w:r>
      <w:r w:rsidRPr="00194F2A">
        <w:rPr>
          <w:rFonts w:ascii="Times New Roman" w:eastAsia="Microsoft Sans Serif" w:hAnsi="Times New Roman"/>
          <w:sz w:val="28"/>
          <w:szCs w:val="28"/>
          <w:lang w:val="en-US" w:eastAsia="ru-RU" w:bidi="ru-RU"/>
        </w:rPr>
        <w:t>mail</w:t>
      </w:r>
      <w:r w:rsidRPr="00F335AF">
        <w:rPr>
          <w:rFonts w:ascii="Times New Roman" w:eastAsia="Microsoft Sans Serif" w:hAnsi="Times New Roman"/>
          <w:sz w:val="28"/>
          <w:szCs w:val="28"/>
          <w:lang w:val="en-US" w:eastAsia="ru-RU" w:bidi="ru-RU"/>
        </w:rPr>
        <w:t xml:space="preserve">: </w:t>
      </w:r>
      <w:r w:rsidR="006953D5" w:rsidRPr="00F335AF">
        <w:rPr>
          <w:rFonts w:ascii="Times New Roman" w:eastAsia="Microsoft Sans Serif" w:hAnsi="Times New Roman"/>
          <w:sz w:val="28"/>
          <w:szCs w:val="28"/>
          <w:lang w:val="en-US" w:eastAsia="ru-RU" w:bidi="ru-RU"/>
        </w:rPr>
        <w:t>office.secretary@rogersgroup.in</w:t>
      </w:r>
    </w:p>
    <w:p w14:paraId="7E21FAEE" w14:textId="77777777" w:rsidR="00E2067C" w:rsidRPr="00F335AF"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p>
    <w:p w14:paraId="78A47BF2" w14:textId="77777777" w:rsidR="00891711" w:rsidRPr="00194F2A" w:rsidRDefault="00F8747E" w:rsidP="00891711">
      <w:pPr>
        <w:pStyle w:val="21"/>
        <w:spacing w:after="0" w:line="240" w:lineRule="auto"/>
        <w:jc w:val="both"/>
        <w:rPr>
          <w:rFonts w:ascii="Times New Roman" w:hAnsi="Times New Roman"/>
          <w:b/>
          <w:sz w:val="28"/>
          <w:szCs w:val="28"/>
          <w:lang w:eastAsia="de-DE"/>
        </w:rPr>
      </w:pPr>
      <w:r w:rsidRPr="00194F2A">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194F2A">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и  </w:t>
      </w:r>
      <w:r w:rsidR="00891711" w:rsidRPr="00194F2A">
        <w:rPr>
          <w:rFonts w:ascii="Times New Roman" w:hAnsi="Times New Roman"/>
          <w:b/>
          <w:iCs/>
          <w:sz w:val="28"/>
          <w:szCs w:val="28"/>
          <w:lang w:val="de-DE" w:eastAsia="de-DE"/>
        </w:rPr>
        <w:t>ответственной за пострегистрационное наблюдение за безопасностью лекарственного средства</w:t>
      </w:r>
      <w:r w:rsidR="00891711" w:rsidRPr="00194F2A">
        <w:rPr>
          <w:rFonts w:ascii="Times New Roman" w:hAnsi="Times New Roman"/>
          <w:b/>
          <w:sz w:val="28"/>
          <w:szCs w:val="28"/>
          <w:lang w:val="de-DE" w:eastAsia="de-DE"/>
        </w:rPr>
        <w:t xml:space="preserve"> </w:t>
      </w:r>
    </w:p>
    <w:p w14:paraId="5933DAB0" w14:textId="099F4AEA" w:rsidR="006E71BF"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 xml:space="preserve">ТОО </w:t>
      </w:r>
      <w:r w:rsidR="00F335AF">
        <w:rPr>
          <w:rFonts w:ascii="Times New Roman" w:eastAsia="Microsoft Sans Serif" w:hAnsi="Times New Roman"/>
          <w:sz w:val="28"/>
          <w:szCs w:val="28"/>
          <w:lang w:eastAsia="ru-RU" w:bidi="ru-RU"/>
        </w:rPr>
        <w:t>«</w:t>
      </w:r>
      <w:r w:rsidRPr="00194F2A">
        <w:rPr>
          <w:rFonts w:ascii="Times New Roman" w:eastAsia="Microsoft Sans Serif" w:hAnsi="Times New Roman"/>
          <w:sz w:val="28"/>
          <w:szCs w:val="28"/>
          <w:lang w:eastAsia="ru-RU" w:bidi="ru-RU"/>
        </w:rPr>
        <w:t>Rogers Pharma</w:t>
      </w:r>
      <w:r w:rsidR="00F335AF">
        <w:rPr>
          <w:rFonts w:ascii="Times New Roman" w:eastAsia="Microsoft Sans Serif" w:hAnsi="Times New Roman"/>
          <w:sz w:val="28"/>
          <w:szCs w:val="28"/>
          <w:lang w:eastAsia="ru-RU" w:bidi="ru-RU"/>
        </w:rPr>
        <w:t>»</w:t>
      </w:r>
      <w:r w:rsidRPr="00194F2A">
        <w:rPr>
          <w:rFonts w:ascii="Times New Roman" w:eastAsia="Microsoft Sans Serif" w:hAnsi="Times New Roman"/>
          <w:sz w:val="28"/>
          <w:szCs w:val="28"/>
          <w:lang w:eastAsia="ru-RU" w:bidi="ru-RU"/>
        </w:rPr>
        <w:t xml:space="preserve">, Казахстан, </w:t>
      </w:r>
    </w:p>
    <w:p w14:paraId="355981CE" w14:textId="77777777" w:rsidR="006E71BF"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 xml:space="preserve">050043, г. Алматы, мкр. Мирас, </w:t>
      </w:r>
      <w:r w:rsidR="006953D5" w:rsidRPr="00194F2A">
        <w:rPr>
          <w:rFonts w:ascii="Times New Roman" w:eastAsia="Microsoft Sans Serif" w:hAnsi="Times New Roman"/>
          <w:sz w:val="28"/>
          <w:szCs w:val="28"/>
          <w:lang w:eastAsia="ru-RU" w:bidi="ru-RU"/>
        </w:rPr>
        <w:t xml:space="preserve">д. </w:t>
      </w:r>
      <w:r w:rsidRPr="00194F2A">
        <w:rPr>
          <w:rFonts w:ascii="Times New Roman" w:eastAsia="Microsoft Sans Serif" w:hAnsi="Times New Roman"/>
          <w:sz w:val="28"/>
          <w:szCs w:val="28"/>
          <w:lang w:eastAsia="ru-RU" w:bidi="ru-RU"/>
        </w:rPr>
        <w:t>157, н.п. 819</w:t>
      </w:r>
      <w:r w:rsidR="006E71BF" w:rsidRPr="006E71BF">
        <w:rPr>
          <w:rFonts w:ascii="Times New Roman" w:eastAsia="Microsoft Sans Serif" w:hAnsi="Times New Roman"/>
          <w:sz w:val="28"/>
          <w:szCs w:val="28"/>
          <w:lang w:eastAsia="ru-RU" w:bidi="ru-RU"/>
        </w:rPr>
        <w:t>.</w:t>
      </w:r>
    </w:p>
    <w:p w14:paraId="65614267" w14:textId="215FDE40" w:rsidR="007B64E7" w:rsidRPr="008B15ED"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Тел</w:t>
      </w:r>
      <w:r w:rsidRPr="008B15ED">
        <w:rPr>
          <w:rFonts w:ascii="Times New Roman" w:eastAsia="Microsoft Sans Serif" w:hAnsi="Times New Roman"/>
          <w:sz w:val="28"/>
          <w:szCs w:val="28"/>
          <w:lang w:eastAsia="ru-RU" w:bidi="ru-RU"/>
        </w:rPr>
        <w:t xml:space="preserve">. </w:t>
      </w:r>
      <w:r w:rsidR="007B64E7" w:rsidRPr="008B15ED">
        <w:rPr>
          <w:rFonts w:ascii="Times New Roman" w:eastAsia="Microsoft Sans Serif" w:hAnsi="Times New Roman"/>
          <w:sz w:val="28"/>
          <w:szCs w:val="28"/>
          <w:lang w:eastAsia="ru-RU" w:bidi="ru-RU"/>
        </w:rPr>
        <w:t xml:space="preserve">+7 </w:t>
      </w:r>
      <w:r w:rsidRPr="008B15ED">
        <w:rPr>
          <w:rFonts w:ascii="Times New Roman" w:eastAsia="Microsoft Sans Serif" w:hAnsi="Times New Roman"/>
          <w:sz w:val="28"/>
          <w:szCs w:val="28"/>
          <w:lang w:eastAsia="ru-RU" w:bidi="ru-RU"/>
        </w:rPr>
        <w:t xml:space="preserve">(727) 311-81-96/97, </w:t>
      </w:r>
      <w:r w:rsidR="008B15ED">
        <w:rPr>
          <w:rFonts w:ascii="Times New Roman" w:eastAsia="Microsoft Sans Serif" w:hAnsi="Times New Roman"/>
          <w:sz w:val="28"/>
          <w:szCs w:val="28"/>
          <w:lang w:eastAsia="ru-RU" w:bidi="ru-RU"/>
        </w:rPr>
        <w:t>+7 747 991 19 04</w:t>
      </w:r>
    </w:p>
    <w:p w14:paraId="45D59CF1" w14:textId="5DDDE66C" w:rsidR="00E2067C" w:rsidRPr="007B64E7"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194F2A">
        <w:rPr>
          <w:rFonts w:ascii="Times New Roman" w:eastAsia="Microsoft Sans Serif" w:hAnsi="Times New Roman"/>
          <w:sz w:val="28"/>
          <w:szCs w:val="28"/>
          <w:lang w:val="en-US" w:eastAsia="ru-RU" w:bidi="ru-RU"/>
        </w:rPr>
        <w:t>e</w:t>
      </w:r>
      <w:r w:rsidRPr="007B64E7">
        <w:rPr>
          <w:rFonts w:ascii="Times New Roman" w:eastAsia="Microsoft Sans Serif" w:hAnsi="Times New Roman"/>
          <w:sz w:val="28"/>
          <w:szCs w:val="28"/>
          <w:lang w:val="en-US" w:eastAsia="ru-RU" w:bidi="ru-RU"/>
        </w:rPr>
        <w:t>-</w:t>
      </w:r>
      <w:r w:rsidRPr="00194F2A">
        <w:rPr>
          <w:rFonts w:ascii="Times New Roman" w:eastAsia="Microsoft Sans Serif" w:hAnsi="Times New Roman"/>
          <w:sz w:val="28"/>
          <w:szCs w:val="28"/>
          <w:lang w:val="en-US" w:eastAsia="ru-RU" w:bidi="ru-RU"/>
        </w:rPr>
        <w:t>mail</w:t>
      </w:r>
      <w:r w:rsidRPr="007B64E7">
        <w:rPr>
          <w:rFonts w:ascii="Times New Roman" w:eastAsia="Microsoft Sans Serif" w:hAnsi="Times New Roman"/>
          <w:sz w:val="28"/>
          <w:szCs w:val="28"/>
          <w:lang w:val="en-US" w:eastAsia="ru-RU" w:bidi="ru-RU"/>
        </w:rPr>
        <w:t>:</w:t>
      </w:r>
      <w:r w:rsidR="00936E6E" w:rsidRPr="00936E6E">
        <w:rPr>
          <w:lang w:val="en-US"/>
        </w:rPr>
        <w:t xml:space="preserve"> </w:t>
      </w:r>
      <w:r w:rsidR="00936E6E" w:rsidRPr="00936E6E">
        <w:rPr>
          <w:rFonts w:ascii="Times New Roman" w:hAnsi="Times New Roman"/>
          <w:sz w:val="28"/>
          <w:szCs w:val="28"/>
          <w:lang w:val="en-US"/>
        </w:rPr>
        <w:t>pharmacovigilance@rogerspharma.kz</w:t>
      </w:r>
      <w:r w:rsidR="0004346C" w:rsidRPr="007B64E7">
        <w:rPr>
          <w:rFonts w:ascii="Times New Roman" w:eastAsia="Microsoft Sans Serif" w:hAnsi="Times New Roman"/>
          <w:sz w:val="28"/>
          <w:szCs w:val="28"/>
          <w:lang w:val="en-US" w:eastAsia="ru-RU" w:bidi="ru-RU"/>
        </w:rPr>
        <w:t xml:space="preserve">, </w:t>
      </w:r>
      <w:hyperlink r:id="rId10" w:history="1">
        <w:r w:rsidRPr="002E3085">
          <w:rPr>
            <w:rStyle w:val="af"/>
            <w:rFonts w:ascii="Times New Roman" w:eastAsia="Microsoft Sans Serif" w:hAnsi="Times New Roman"/>
            <w:color w:val="auto"/>
            <w:sz w:val="28"/>
            <w:szCs w:val="28"/>
            <w:u w:val="none"/>
            <w:lang w:val="en-US" w:eastAsia="ru-RU" w:bidi="ru-RU"/>
          </w:rPr>
          <w:t>irina</w:t>
        </w:r>
        <w:r w:rsidRPr="007B64E7">
          <w:rPr>
            <w:rStyle w:val="af"/>
            <w:rFonts w:ascii="Times New Roman" w:eastAsia="Microsoft Sans Serif" w:hAnsi="Times New Roman"/>
            <w:color w:val="auto"/>
            <w:sz w:val="28"/>
            <w:szCs w:val="28"/>
            <w:u w:val="none"/>
            <w:lang w:val="en-US" w:eastAsia="ru-RU" w:bidi="ru-RU"/>
          </w:rPr>
          <w:t>.</w:t>
        </w:r>
        <w:r w:rsidRPr="002E3085">
          <w:rPr>
            <w:rStyle w:val="af"/>
            <w:rFonts w:ascii="Times New Roman" w:eastAsia="Microsoft Sans Serif" w:hAnsi="Times New Roman"/>
            <w:color w:val="auto"/>
            <w:sz w:val="28"/>
            <w:szCs w:val="28"/>
            <w:u w:val="none"/>
            <w:lang w:val="en-US" w:eastAsia="ru-RU" w:bidi="ru-RU"/>
          </w:rPr>
          <w:t>volovnikova</w:t>
        </w:r>
        <w:r w:rsidRPr="007B64E7">
          <w:rPr>
            <w:rStyle w:val="af"/>
            <w:rFonts w:ascii="Times New Roman" w:eastAsia="Microsoft Sans Serif" w:hAnsi="Times New Roman"/>
            <w:color w:val="auto"/>
            <w:sz w:val="28"/>
            <w:szCs w:val="28"/>
            <w:u w:val="none"/>
            <w:lang w:val="en-US" w:eastAsia="ru-RU" w:bidi="ru-RU"/>
          </w:rPr>
          <w:t>@</w:t>
        </w:r>
        <w:r w:rsidRPr="002E3085">
          <w:rPr>
            <w:rStyle w:val="af"/>
            <w:rFonts w:ascii="Times New Roman" w:eastAsia="Microsoft Sans Serif" w:hAnsi="Times New Roman"/>
            <w:color w:val="auto"/>
            <w:sz w:val="28"/>
            <w:szCs w:val="28"/>
            <w:u w:val="none"/>
            <w:lang w:val="en-US" w:eastAsia="ru-RU" w:bidi="ru-RU"/>
          </w:rPr>
          <w:t>gmail</w:t>
        </w:r>
        <w:r w:rsidRPr="007B64E7">
          <w:rPr>
            <w:rStyle w:val="af"/>
            <w:rFonts w:ascii="Times New Roman" w:eastAsia="Microsoft Sans Serif" w:hAnsi="Times New Roman"/>
            <w:color w:val="auto"/>
            <w:sz w:val="28"/>
            <w:szCs w:val="28"/>
            <w:u w:val="none"/>
            <w:lang w:val="en-US" w:eastAsia="ru-RU" w:bidi="ru-RU"/>
          </w:rPr>
          <w:t>.</w:t>
        </w:r>
        <w:r w:rsidRPr="002E3085">
          <w:rPr>
            <w:rStyle w:val="af"/>
            <w:rFonts w:ascii="Times New Roman" w:eastAsia="Microsoft Sans Serif" w:hAnsi="Times New Roman"/>
            <w:color w:val="auto"/>
            <w:sz w:val="28"/>
            <w:szCs w:val="28"/>
            <w:u w:val="none"/>
            <w:lang w:val="en-US" w:eastAsia="ru-RU" w:bidi="ru-RU"/>
          </w:rPr>
          <w:t>com</w:t>
        </w:r>
      </w:hyperlink>
    </w:p>
    <w:p w14:paraId="2EF2B2FA" w14:textId="77777777" w:rsidR="007E1A7B" w:rsidRPr="007B64E7" w:rsidRDefault="007E1A7B" w:rsidP="00844CE8">
      <w:pPr>
        <w:spacing w:after="0" w:line="240" w:lineRule="auto"/>
        <w:jc w:val="both"/>
        <w:rPr>
          <w:rFonts w:ascii="Times New Roman" w:hAnsi="Times New Roman"/>
          <w:color w:val="000000"/>
          <w:sz w:val="28"/>
          <w:szCs w:val="28"/>
          <w:lang w:val="en-US"/>
        </w:rPr>
      </w:pPr>
    </w:p>
    <w:p w14:paraId="2FC8EA1A" w14:textId="77777777" w:rsidR="007E1A7B" w:rsidRPr="007B64E7" w:rsidRDefault="007E1A7B" w:rsidP="00844CE8">
      <w:pPr>
        <w:spacing w:after="0" w:line="240" w:lineRule="auto"/>
        <w:jc w:val="both"/>
        <w:rPr>
          <w:rFonts w:ascii="Times New Roman" w:hAnsi="Times New Roman"/>
          <w:color w:val="000000"/>
          <w:sz w:val="28"/>
          <w:szCs w:val="28"/>
          <w:lang w:val="en-US"/>
        </w:rPr>
      </w:pPr>
    </w:p>
    <w:p w14:paraId="49C9B3A6" w14:textId="77777777" w:rsidR="002C76D7" w:rsidRPr="007B64E7" w:rsidRDefault="002C76D7" w:rsidP="00844CE8">
      <w:pPr>
        <w:spacing w:after="0" w:line="240" w:lineRule="auto"/>
        <w:jc w:val="both"/>
        <w:rPr>
          <w:rFonts w:ascii="Times New Roman" w:eastAsia="Times New Roman" w:hAnsi="Times New Roman"/>
          <w:b/>
          <w:sz w:val="28"/>
          <w:szCs w:val="28"/>
          <w:lang w:val="en-US" w:eastAsia="ru-RU"/>
        </w:rPr>
      </w:pPr>
    </w:p>
    <w:sectPr w:rsidR="002C76D7" w:rsidRPr="007B64E7"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4B74" w14:textId="77777777" w:rsidR="00487C49" w:rsidRDefault="00487C49" w:rsidP="00D275FC">
      <w:pPr>
        <w:spacing w:after="0" w:line="240" w:lineRule="auto"/>
      </w:pPr>
      <w:r>
        <w:separator/>
      </w:r>
    </w:p>
  </w:endnote>
  <w:endnote w:type="continuationSeparator" w:id="0">
    <w:p w14:paraId="097D9A77" w14:textId="77777777" w:rsidR="00487C49" w:rsidRDefault="00487C49"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C174" w14:textId="77777777" w:rsidR="00487C49" w:rsidRDefault="00487C49" w:rsidP="00D275FC">
      <w:pPr>
        <w:spacing w:after="0" w:line="240" w:lineRule="auto"/>
      </w:pPr>
      <w:r>
        <w:separator/>
      </w:r>
    </w:p>
  </w:footnote>
  <w:footnote w:type="continuationSeparator" w:id="0">
    <w:p w14:paraId="3349C118" w14:textId="77777777" w:rsidR="00487C49" w:rsidRDefault="00487C49"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2DD2" w14:textId="77777777" w:rsidR="00D275FC" w:rsidRDefault="000E7CAB">
    <w:pPr>
      <w:pStyle w:val="af1"/>
    </w:pPr>
    <w:r>
      <w:rPr>
        <w:noProof/>
        <w:lang w:eastAsia="ru-RU"/>
      </w:rPr>
      <mc:AlternateContent>
        <mc:Choice Requires="wps">
          <w:drawing>
            <wp:anchor distT="0" distB="0" distL="114300" distR="114300" simplePos="0" relativeHeight="251657728" behindDoc="0" locked="0" layoutInCell="1" allowOverlap="1" wp14:anchorId="6749D02D" wp14:editId="15C435E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354937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49D02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354937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E322F3"/>
    <w:multiLevelType w:val="hybridMultilevel"/>
    <w:tmpl w:val="17D6BC00"/>
    <w:lvl w:ilvl="0" w:tplc="040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977A13"/>
    <w:multiLevelType w:val="hybridMultilevel"/>
    <w:tmpl w:val="F3F6D86A"/>
    <w:lvl w:ilvl="0" w:tplc="04090011">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610EEC"/>
    <w:multiLevelType w:val="hybridMultilevel"/>
    <w:tmpl w:val="2C32DDD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2"/>
  </w:num>
  <w:num w:numId="4">
    <w:abstractNumId w:val="21"/>
  </w:num>
  <w:num w:numId="5">
    <w:abstractNumId w:val="27"/>
  </w:num>
  <w:num w:numId="6">
    <w:abstractNumId w:val="5"/>
  </w:num>
  <w:num w:numId="7">
    <w:abstractNumId w:val="25"/>
  </w:num>
  <w:num w:numId="8">
    <w:abstractNumId w:val="7"/>
  </w:num>
  <w:num w:numId="9">
    <w:abstractNumId w:val="18"/>
  </w:num>
  <w:num w:numId="10">
    <w:abstractNumId w:val="8"/>
  </w:num>
  <w:num w:numId="11">
    <w:abstractNumId w:val="17"/>
  </w:num>
  <w:num w:numId="12">
    <w:abstractNumId w:val="20"/>
  </w:num>
  <w:num w:numId="13">
    <w:abstractNumId w:val="22"/>
  </w:num>
  <w:num w:numId="14">
    <w:abstractNumId w:val="13"/>
  </w:num>
  <w:num w:numId="15">
    <w:abstractNumId w:val="0"/>
  </w:num>
  <w:num w:numId="16">
    <w:abstractNumId w:val="26"/>
  </w:num>
  <w:num w:numId="17">
    <w:abstractNumId w:val="16"/>
  </w:num>
  <w:num w:numId="18">
    <w:abstractNumId w:val="15"/>
  </w:num>
  <w:num w:numId="19">
    <w:abstractNumId w:val="6"/>
  </w:num>
  <w:num w:numId="20">
    <w:abstractNumId w:val="1"/>
  </w:num>
  <w:num w:numId="21">
    <w:abstractNumId w:val="11"/>
  </w:num>
  <w:num w:numId="22">
    <w:abstractNumId w:val="4"/>
  </w:num>
  <w:num w:numId="23">
    <w:abstractNumId w:val="24"/>
  </w:num>
  <w:num w:numId="24">
    <w:abstractNumId w:val="12"/>
  </w:num>
  <w:num w:numId="25">
    <w:abstractNumId w:val="10"/>
  </w:num>
  <w:num w:numId="26">
    <w:abstractNumId w:val="9"/>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4346C"/>
    <w:rsid w:val="0004701B"/>
    <w:rsid w:val="00053573"/>
    <w:rsid w:val="000852A1"/>
    <w:rsid w:val="000972E6"/>
    <w:rsid w:val="000A0D71"/>
    <w:rsid w:val="000C2C4B"/>
    <w:rsid w:val="000C4C48"/>
    <w:rsid w:val="000E01AB"/>
    <w:rsid w:val="000E2683"/>
    <w:rsid w:val="000E49F0"/>
    <w:rsid w:val="000E6126"/>
    <w:rsid w:val="000E7CAB"/>
    <w:rsid w:val="00100406"/>
    <w:rsid w:val="00107A8A"/>
    <w:rsid w:val="00111788"/>
    <w:rsid w:val="00132B9A"/>
    <w:rsid w:val="001368AE"/>
    <w:rsid w:val="00144CCD"/>
    <w:rsid w:val="0014739A"/>
    <w:rsid w:val="0015490C"/>
    <w:rsid w:val="001569D4"/>
    <w:rsid w:val="001573E2"/>
    <w:rsid w:val="0016278D"/>
    <w:rsid w:val="00176BED"/>
    <w:rsid w:val="00192391"/>
    <w:rsid w:val="001937AD"/>
    <w:rsid w:val="00194F2A"/>
    <w:rsid w:val="001A2CB2"/>
    <w:rsid w:val="001A5CCF"/>
    <w:rsid w:val="001B6AEC"/>
    <w:rsid w:val="001C185C"/>
    <w:rsid w:val="001E054C"/>
    <w:rsid w:val="001E6F4C"/>
    <w:rsid w:val="001F16AA"/>
    <w:rsid w:val="001F73DE"/>
    <w:rsid w:val="00203355"/>
    <w:rsid w:val="0020446C"/>
    <w:rsid w:val="00210701"/>
    <w:rsid w:val="00211005"/>
    <w:rsid w:val="00217D41"/>
    <w:rsid w:val="00222CA6"/>
    <w:rsid w:val="00232642"/>
    <w:rsid w:val="00237697"/>
    <w:rsid w:val="00250EDB"/>
    <w:rsid w:val="00256E10"/>
    <w:rsid w:val="00260413"/>
    <w:rsid w:val="00260EBC"/>
    <w:rsid w:val="00264710"/>
    <w:rsid w:val="00267567"/>
    <w:rsid w:val="00270036"/>
    <w:rsid w:val="00270B0A"/>
    <w:rsid w:val="00281FBE"/>
    <w:rsid w:val="00284E40"/>
    <w:rsid w:val="00290D2E"/>
    <w:rsid w:val="00292715"/>
    <w:rsid w:val="00294387"/>
    <w:rsid w:val="002A0721"/>
    <w:rsid w:val="002A591C"/>
    <w:rsid w:val="002B3270"/>
    <w:rsid w:val="002C10E1"/>
    <w:rsid w:val="002C15EB"/>
    <w:rsid w:val="002C1660"/>
    <w:rsid w:val="002C35A2"/>
    <w:rsid w:val="002C5345"/>
    <w:rsid w:val="002C76D7"/>
    <w:rsid w:val="002D56B7"/>
    <w:rsid w:val="002E0BAD"/>
    <w:rsid w:val="002E3085"/>
    <w:rsid w:val="002E7588"/>
    <w:rsid w:val="002F4A14"/>
    <w:rsid w:val="00302607"/>
    <w:rsid w:val="003043BF"/>
    <w:rsid w:val="00320073"/>
    <w:rsid w:val="003262DF"/>
    <w:rsid w:val="00335432"/>
    <w:rsid w:val="003356B2"/>
    <w:rsid w:val="00335802"/>
    <w:rsid w:val="0036288F"/>
    <w:rsid w:val="00365B10"/>
    <w:rsid w:val="003662F1"/>
    <w:rsid w:val="00367BA7"/>
    <w:rsid w:val="003761C0"/>
    <w:rsid w:val="003812B2"/>
    <w:rsid w:val="00383CDB"/>
    <w:rsid w:val="00384F08"/>
    <w:rsid w:val="003879F9"/>
    <w:rsid w:val="003A035E"/>
    <w:rsid w:val="003B0285"/>
    <w:rsid w:val="003C1AA5"/>
    <w:rsid w:val="003D4930"/>
    <w:rsid w:val="003E13CF"/>
    <w:rsid w:val="003F5344"/>
    <w:rsid w:val="003F7EDC"/>
    <w:rsid w:val="00404548"/>
    <w:rsid w:val="0041162E"/>
    <w:rsid w:val="0041233A"/>
    <w:rsid w:val="0042786D"/>
    <w:rsid w:val="00431BBF"/>
    <w:rsid w:val="00433C62"/>
    <w:rsid w:val="00434D01"/>
    <w:rsid w:val="004447C2"/>
    <w:rsid w:val="00472EF5"/>
    <w:rsid w:val="0048687C"/>
    <w:rsid w:val="00487C49"/>
    <w:rsid w:val="00494761"/>
    <w:rsid w:val="00496632"/>
    <w:rsid w:val="004A31B4"/>
    <w:rsid w:val="004C18F3"/>
    <w:rsid w:val="004C1922"/>
    <w:rsid w:val="004C462F"/>
    <w:rsid w:val="004D49E9"/>
    <w:rsid w:val="004E6776"/>
    <w:rsid w:val="004F0CD1"/>
    <w:rsid w:val="005063A2"/>
    <w:rsid w:val="005071DA"/>
    <w:rsid w:val="00512C02"/>
    <w:rsid w:val="00523D82"/>
    <w:rsid w:val="00541A00"/>
    <w:rsid w:val="005444B2"/>
    <w:rsid w:val="00552F8B"/>
    <w:rsid w:val="00561FE7"/>
    <w:rsid w:val="00571F31"/>
    <w:rsid w:val="00575348"/>
    <w:rsid w:val="005779DE"/>
    <w:rsid w:val="005869C5"/>
    <w:rsid w:val="005A3C81"/>
    <w:rsid w:val="005A49D7"/>
    <w:rsid w:val="005A5680"/>
    <w:rsid w:val="005A6639"/>
    <w:rsid w:val="005A6914"/>
    <w:rsid w:val="005B3FFE"/>
    <w:rsid w:val="005C1519"/>
    <w:rsid w:val="005C1C4E"/>
    <w:rsid w:val="005C4A16"/>
    <w:rsid w:val="005C4B12"/>
    <w:rsid w:val="005D68C6"/>
    <w:rsid w:val="005D7EE3"/>
    <w:rsid w:val="005E50DE"/>
    <w:rsid w:val="005F7097"/>
    <w:rsid w:val="0060364A"/>
    <w:rsid w:val="00607114"/>
    <w:rsid w:val="00614E92"/>
    <w:rsid w:val="0061650D"/>
    <w:rsid w:val="00617843"/>
    <w:rsid w:val="00620F34"/>
    <w:rsid w:val="00624C1B"/>
    <w:rsid w:val="00625471"/>
    <w:rsid w:val="00627853"/>
    <w:rsid w:val="00633A90"/>
    <w:rsid w:val="00634D0C"/>
    <w:rsid w:val="00652BCE"/>
    <w:rsid w:val="00652E29"/>
    <w:rsid w:val="00653617"/>
    <w:rsid w:val="006703A5"/>
    <w:rsid w:val="0067136B"/>
    <w:rsid w:val="00687572"/>
    <w:rsid w:val="00691208"/>
    <w:rsid w:val="00693014"/>
    <w:rsid w:val="006953D5"/>
    <w:rsid w:val="006A23C4"/>
    <w:rsid w:val="006A702E"/>
    <w:rsid w:val="006B20FF"/>
    <w:rsid w:val="006B7A90"/>
    <w:rsid w:val="006C577B"/>
    <w:rsid w:val="006C5F38"/>
    <w:rsid w:val="006C6558"/>
    <w:rsid w:val="006C7D08"/>
    <w:rsid w:val="006D7D5A"/>
    <w:rsid w:val="006E4305"/>
    <w:rsid w:val="006E5043"/>
    <w:rsid w:val="006E71BF"/>
    <w:rsid w:val="006F2445"/>
    <w:rsid w:val="006F5763"/>
    <w:rsid w:val="00704BAB"/>
    <w:rsid w:val="007104D1"/>
    <w:rsid w:val="007135A6"/>
    <w:rsid w:val="00732F32"/>
    <w:rsid w:val="00733A73"/>
    <w:rsid w:val="00736B6C"/>
    <w:rsid w:val="00745CFF"/>
    <w:rsid w:val="00746FF2"/>
    <w:rsid w:val="00754F7C"/>
    <w:rsid w:val="00761133"/>
    <w:rsid w:val="00764E84"/>
    <w:rsid w:val="00765C61"/>
    <w:rsid w:val="007762F8"/>
    <w:rsid w:val="00783520"/>
    <w:rsid w:val="007A02D3"/>
    <w:rsid w:val="007A18B1"/>
    <w:rsid w:val="007B64E7"/>
    <w:rsid w:val="007C055A"/>
    <w:rsid w:val="007C1693"/>
    <w:rsid w:val="007D0E84"/>
    <w:rsid w:val="007D681B"/>
    <w:rsid w:val="007E1A7B"/>
    <w:rsid w:val="007E1D85"/>
    <w:rsid w:val="007E5B48"/>
    <w:rsid w:val="007E702A"/>
    <w:rsid w:val="007F32B3"/>
    <w:rsid w:val="007F3939"/>
    <w:rsid w:val="0081154A"/>
    <w:rsid w:val="00820B36"/>
    <w:rsid w:val="008250FA"/>
    <w:rsid w:val="00825E04"/>
    <w:rsid w:val="00827BB2"/>
    <w:rsid w:val="008329DA"/>
    <w:rsid w:val="008330E7"/>
    <w:rsid w:val="008353A4"/>
    <w:rsid w:val="008372C6"/>
    <w:rsid w:val="00844CE8"/>
    <w:rsid w:val="00847154"/>
    <w:rsid w:val="00853141"/>
    <w:rsid w:val="0086657B"/>
    <w:rsid w:val="008832E5"/>
    <w:rsid w:val="00891711"/>
    <w:rsid w:val="00897669"/>
    <w:rsid w:val="008B15ED"/>
    <w:rsid w:val="008C0181"/>
    <w:rsid w:val="008D4451"/>
    <w:rsid w:val="008D62B7"/>
    <w:rsid w:val="008E6895"/>
    <w:rsid w:val="00900B3C"/>
    <w:rsid w:val="00904FB5"/>
    <w:rsid w:val="00906C94"/>
    <w:rsid w:val="0091136C"/>
    <w:rsid w:val="009157ED"/>
    <w:rsid w:val="00930D7D"/>
    <w:rsid w:val="00930FE3"/>
    <w:rsid w:val="00936E6E"/>
    <w:rsid w:val="0095047E"/>
    <w:rsid w:val="00956101"/>
    <w:rsid w:val="00956A3D"/>
    <w:rsid w:val="00962CD6"/>
    <w:rsid w:val="00993A60"/>
    <w:rsid w:val="00996F90"/>
    <w:rsid w:val="009B014E"/>
    <w:rsid w:val="009D71D5"/>
    <w:rsid w:val="009E2887"/>
    <w:rsid w:val="009E5CB9"/>
    <w:rsid w:val="009F31F2"/>
    <w:rsid w:val="009F45A5"/>
    <w:rsid w:val="00A01C2E"/>
    <w:rsid w:val="00A02BB2"/>
    <w:rsid w:val="00A04052"/>
    <w:rsid w:val="00A12563"/>
    <w:rsid w:val="00A13C45"/>
    <w:rsid w:val="00A8185B"/>
    <w:rsid w:val="00A82583"/>
    <w:rsid w:val="00A923FC"/>
    <w:rsid w:val="00AA5E2F"/>
    <w:rsid w:val="00AA7317"/>
    <w:rsid w:val="00AC2C0B"/>
    <w:rsid w:val="00AC4905"/>
    <w:rsid w:val="00AC68B9"/>
    <w:rsid w:val="00AD4C6C"/>
    <w:rsid w:val="00AE7922"/>
    <w:rsid w:val="00B01011"/>
    <w:rsid w:val="00B11878"/>
    <w:rsid w:val="00B14257"/>
    <w:rsid w:val="00B46F30"/>
    <w:rsid w:val="00B608C1"/>
    <w:rsid w:val="00B60D3D"/>
    <w:rsid w:val="00B61D95"/>
    <w:rsid w:val="00B9187F"/>
    <w:rsid w:val="00BB3050"/>
    <w:rsid w:val="00BB7831"/>
    <w:rsid w:val="00BC31BC"/>
    <w:rsid w:val="00BC6167"/>
    <w:rsid w:val="00BE4435"/>
    <w:rsid w:val="00BE6B71"/>
    <w:rsid w:val="00BF312E"/>
    <w:rsid w:val="00C07BB3"/>
    <w:rsid w:val="00C2000E"/>
    <w:rsid w:val="00C24389"/>
    <w:rsid w:val="00C319FE"/>
    <w:rsid w:val="00C379C9"/>
    <w:rsid w:val="00C422B8"/>
    <w:rsid w:val="00C53956"/>
    <w:rsid w:val="00C566D6"/>
    <w:rsid w:val="00C76701"/>
    <w:rsid w:val="00C839ED"/>
    <w:rsid w:val="00C84299"/>
    <w:rsid w:val="00C92F14"/>
    <w:rsid w:val="00C9308C"/>
    <w:rsid w:val="00C97365"/>
    <w:rsid w:val="00CC08BA"/>
    <w:rsid w:val="00CC330A"/>
    <w:rsid w:val="00CC5727"/>
    <w:rsid w:val="00CC7DBD"/>
    <w:rsid w:val="00CD5A8A"/>
    <w:rsid w:val="00CE2493"/>
    <w:rsid w:val="00CE38C0"/>
    <w:rsid w:val="00CF3849"/>
    <w:rsid w:val="00D0233C"/>
    <w:rsid w:val="00D066FC"/>
    <w:rsid w:val="00D11462"/>
    <w:rsid w:val="00D14D61"/>
    <w:rsid w:val="00D15675"/>
    <w:rsid w:val="00D163B4"/>
    <w:rsid w:val="00D22A47"/>
    <w:rsid w:val="00D275FC"/>
    <w:rsid w:val="00D3576E"/>
    <w:rsid w:val="00D43297"/>
    <w:rsid w:val="00D46B0B"/>
    <w:rsid w:val="00D55ED8"/>
    <w:rsid w:val="00D70DB6"/>
    <w:rsid w:val="00D76048"/>
    <w:rsid w:val="00D93C80"/>
    <w:rsid w:val="00D96A8F"/>
    <w:rsid w:val="00DB406A"/>
    <w:rsid w:val="00DD38FF"/>
    <w:rsid w:val="00DF11A7"/>
    <w:rsid w:val="00E03E8D"/>
    <w:rsid w:val="00E2067C"/>
    <w:rsid w:val="00E271CB"/>
    <w:rsid w:val="00E34FE3"/>
    <w:rsid w:val="00E55D6C"/>
    <w:rsid w:val="00E57396"/>
    <w:rsid w:val="00E81A1B"/>
    <w:rsid w:val="00E81A86"/>
    <w:rsid w:val="00E8607B"/>
    <w:rsid w:val="00E8680D"/>
    <w:rsid w:val="00E91073"/>
    <w:rsid w:val="00E93583"/>
    <w:rsid w:val="00EA2F86"/>
    <w:rsid w:val="00EA62E5"/>
    <w:rsid w:val="00EA6D39"/>
    <w:rsid w:val="00EB1D97"/>
    <w:rsid w:val="00EB3F16"/>
    <w:rsid w:val="00EC6669"/>
    <w:rsid w:val="00EE5D44"/>
    <w:rsid w:val="00EF4C53"/>
    <w:rsid w:val="00EF594A"/>
    <w:rsid w:val="00F006F1"/>
    <w:rsid w:val="00F07B7B"/>
    <w:rsid w:val="00F23B95"/>
    <w:rsid w:val="00F335AF"/>
    <w:rsid w:val="00F40388"/>
    <w:rsid w:val="00F63389"/>
    <w:rsid w:val="00F83E1E"/>
    <w:rsid w:val="00F85FA5"/>
    <w:rsid w:val="00F8747E"/>
    <w:rsid w:val="00F91977"/>
    <w:rsid w:val="00F97B57"/>
    <w:rsid w:val="00FA4F7C"/>
    <w:rsid w:val="00FB0456"/>
    <w:rsid w:val="00FB47F4"/>
    <w:rsid w:val="00FD2B12"/>
    <w:rsid w:val="00FD2B9F"/>
    <w:rsid w:val="00FE2AB5"/>
    <w:rsid w:val="00FE566D"/>
    <w:rsid w:val="00FE6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51D31"/>
  <w15:docId w15:val="{15785719-80A3-46D8-8461-CBAEFC0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uiPriority w:val="9"/>
    <w:unhideWhenUsed/>
    <w:qFormat/>
    <w:rsid w:val="00EF594A"/>
    <w:p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50">
    <w:name w:val="Заголовок 5 Знак"/>
    <w:link w:val="5"/>
    <w:uiPriority w:val="9"/>
    <w:rsid w:val="00EF594A"/>
    <w:rPr>
      <w:rFonts w:eastAsia="Times New Roman"/>
      <w:b/>
      <w:bCs/>
      <w:i/>
      <w:iCs/>
      <w:sz w:val="26"/>
      <w:szCs w:val="26"/>
      <w:lang w:eastAsia="en-US"/>
    </w:rPr>
  </w:style>
  <w:style w:type="paragraph" w:customStyle="1" w:styleId="Body">
    <w:name w:val="Body"/>
    <w:basedOn w:val="a"/>
    <w:link w:val="BodyChar"/>
    <w:rsid w:val="00EF594A"/>
    <w:pPr>
      <w:spacing w:after="0" w:line="240" w:lineRule="auto"/>
      <w:ind w:firstLine="288"/>
      <w:jc w:val="both"/>
    </w:pPr>
    <w:rPr>
      <w:rFonts w:ascii="Arial" w:eastAsia="Times New Roman" w:hAnsi="Arial"/>
      <w:sz w:val="20"/>
      <w:szCs w:val="20"/>
      <w:lang w:val="en-US"/>
    </w:rPr>
  </w:style>
  <w:style w:type="character" w:customStyle="1" w:styleId="BodyChar">
    <w:name w:val="Body Char"/>
    <w:link w:val="Body"/>
    <w:rsid w:val="00EF594A"/>
    <w:rPr>
      <w:rFonts w:ascii="Arial" w:eastAsia="Times New Roman" w:hAnsi="Arial"/>
      <w:lang w:val="en-US" w:eastAsia="en-US"/>
    </w:rPr>
  </w:style>
  <w:style w:type="character" w:customStyle="1" w:styleId="14">
    <w:name w:val="Неразрешенное упоминание1"/>
    <w:uiPriority w:val="99"/>
    <w:semiHidden/>
    <w:unhideWhenUsed/>
    <w:rsid w:val="0004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ina.volovnikova@gmail.com" TargetMode="External"/><Relationship Id="rId4" Type="http://schemas.openxmlformats.org/officeDocument/2006/relationships/settings" Target="settings.xml"/><Relationship Id="rId9" Type="http://schemas.openxmlformats.org/officeDocument/2006/relationships/hyperlink" Target="http://www.nd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742E-0522-44FC-A5A2-18F52130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4828</Words>
  <Characters>27524</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32288</CharactersWithSpaces>
  <SharedDoc>false</SharedDoc>
  <HLinks>
    <vt:vector size="18" baseType="variant">
      <vt:variant>
        <vt:i4>7077902</vt:i4>
      </vt:variant>
      <vt:variant>
        <vt:i4>6</vt:i4>
      </vt:variant>
      <vt:variant>
        <vt:i4>0</vt:i4>
      </vt:variant>
      <vt:variant>
        <vt:i4>5</vt:i4>
      </vt:variant>
      <vt:variant>
        <vt:lpwstr>mailto:irina.volovnikova@gmail.com</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2023-02-07T03:33:00Z</dcterms:created>
  <dcterms:modified xsi:type="dcterms:W3CDTF">2023-05-12T09:57:00Z</dcterms:modified>
</cp:coreProperties>
</file>